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5F71" w14:textId="37186471" w:rsidR="006551DF" w:rsidRPr="006551DF" w:rsidRDefault="006551DF" w:rsidP="65DC1F7E">
      <w:pPr>
        <w:pStyle w:val="Heading2"/>
        <w:shd w:val="clear" w:color="auto" w:fill="FFFFFF" w:themeFill="background1"/>
        <w:spacing w:before="120" w:after="60" w:line="375" w:lineRule="atLeast"/>
        <w:rPr>
          <w:rFonts w:ascii="Helvetica" w:hAnsi="Helvetica"/>
          <w:b/>
          <w:bCs/>
          <w:color w:val="1F78C0"/>
          <w:sz w:val="40"/>
          <w:szCs w:val="40"/>
        </w:rPr>
      </w:pPr>
      <w:r w:rsidRPr="65DC1F7E">
        <w:rPr>
          <w:rFonts w:ascii="Helvetica" w:hAnsi="Helvetica"/>
          <w:b/>
          <w:bCs/>
          <w:color w:val="1F78C0"/>
          <w:sz w:val="40"/>
          <w:szCs w:val="40"/>
        </w:rPr>
        <w:t xml:space="preserve">Outreach Materials for </w:t>
      </w:r>
      <w:r w:rsidR="00B875FF" w:rsidRPr="65DC1F7E">
        <w:rPr>
          <w:rFonts w:ascii="Helvetica" w:hAnsi="Helvetica"/>
          <w:b/>
          <w:bCs/>
          <w:color w:val="1F78C0"/>
          <w:sz w:val="40"/>
          <w:szCs w:val="40"/>
        </w:rPr>
        <w:t>SDLAs</w:t>
      </w:r>
    </w:p>
    <w:p w14:paraId="042E41E1" w14:textId="47CA6A1A" w:rsidR="3E31F904" w:rsidRDefault="3E31F904" w:rsidP="65DC1F7E">
      <w:pPr>
        <w:rPr>
          <w:sz w:val="22"/>
          <w:szCs w:val="22"/>
        </w:rPr>
      </w:pPr>
      <w:r w:rsidRPr="65DC1F7E">
        <w:rPr>
          <w:sz w:val="22"/>
          <w:szCs w:val="22"/>
        </w:rPr>
        <w:t xml:space="preserve">SDLAs are encouraged to use these sample newsletter article and e-newsletter blurbs </w:t>
      </w:r>
      <w:r w:rsidR="53701B02" w:rsidRPr="65DC1F7E">
        <w:rPr>
          <w:sz w:val="22"/>
          <w:szCs w:val="22"/>
        </w:rPr>
        <w:t>on</w:t>
      </w:r>
      <w:r w:rsidRPr="65DC1F7E">
        <w:rPr>
          <w:sz w:val="22"/>
          <w:szCs w:val="22"/>
        </w:rPr>
        <w:t xml:space="preserve"> their websites and </w:t>
      </w:r>
      <w:r w:rsidR="72BAE67C" w:rsidRPr="65DC1F7E">
        <w:rPr>
          <w:sz w:val="22"/>
          <w:szCs w:val="22"/>
        </w:rPr>
        <w:t xml:space="preserve">in SDLA </w:t>
      </w:r>
      <w:r w:rsidRPr="65DC1F7E">
        <w:rPr>
          <w:sz w:val="22"/>
          <w:szCs w:val="22"/>
        </w:rPr>
        <w:t>publications to educate drivers who hold a commercial driver’s license (CDL) or commercial learner’s permit (CLP) on the Clearinghouse-II requirements and impact on commercial driving privileges for drivers who are in a “prohibited” status in the Clearinghouse. These messages can be posted until the November 18, 2024 Clearinghouse-II compliance date. Web graphics</w:t>
      </w:r>
      <w:r w:rsidR="6DB71205" w:rsidRPr="65DC1F7E">
        <w:rPr>
          <w:sz w:val="22"/>
          <w:szCs w:val="22"/>
        </w:rPr>
        <w:t xml:space="preserve"> to accompany the sample newsletter and blurbs</w:t>
      </w:r>
      <w:r w:rsidRPr="65DC1F7E">
        <w:rPr>
          <w:sz w:val="22"/>
          <w:szCs w:val="22"/>
        </w:rPr>
        <w:t xml:space="preserve"> are also available on the SDLA resources page—visit </w:t>
      </w:r>
      <w:hyperlink r:id="rId10" w:history="1">
        <w:r w:rsidR="00914AAB" w:rsidRPr="009F3CBD">
          <w:rPr>
            <w:rStyle w:val="Hyperlink"/>
            <w:sz w:val="22"/>
            <w:szCs w:val="22"/>
          </w:rPr>
          <w:t>https://clearinghouse.fmcsa.dot.gov/resource/page/sdla-resources</w:t>
        </w:r>
      </w:hyperlink>
      <w:r w:rsidRPr="65DC1F7E">
        <w:rPr>
          <w:sz w:val="22"/>
          <w:szCs w:val="22"/>
        </w:rPr>
        <w:t>.</w:t>
      </w:r>
      <w:r w:rsidR="00914AAB">
        <w:rPr>
          <w:sz w:val="22"/>
          <w:szCs w:val="22"/>
        </w:rPr>
        <w:t xml:space="preserve"> </w:t>
      </w:r>
    </w:p>
    <w:p w14:paraId="7BF1C4A9" w14:textId="77777777" w:rsidR="006551DF" w:rsidRPr="006551DF" w:rsidRDefault="006551DF" w:rsidP="006551DF">
      <w:pPr>
        <w:pStyle w:val="NoSpacing"/>
      </w:pPr>
    </w:p>
    <w:p w14:paraId="59C2A4D6" w14:textId="30DA3D0F" w:rsidR="006551DF" w:rsidRPr="006551DF" w:rsidRDefault="006551DF" w:rsidP="006551DF">
      <w:pPr>
        <w:pStyle w:val="Heading2"/>
        <w:shd w:val="clear" w:color="auto" w:fill="DEEAF6" w:themeFill="accent5" w:themeFillTint="33"/>
        <w:spacing w:before="0" w:after="60" w:line="375" w:lineRule="atLeast"/>
        <w:rPr>
          <w:rFonts w:ascii="Helvetica" w:hAnsi="Helvetica"/>
          <w:b/>
          <w:bCs/>
          <w:color w:val="002060"/>
          <w:sz w:val="27"/>
          <w:szCs w:val="27"/>
        </w:rPr>
      </w:pPr>
      <w:r w:rsidRPr="006551DF">
        <w:rPr>
          <w:rFonts w:ascii="Helvetica" w:hAnsi="Helvetica"/>
          <w:b/>
          <w:bCs/>
          <w:color w:val="002060"/>
          <w:sz w:val="27"/>
          <w:szCs w:val="27"/>
        </w:rPr>
        <w:t>Sample Article</w:t>
      </w:r>
      <w:r w:rsidR="00FD235E">
        <w:rPr>
          <w:rFonts w:ascii="Helvetica" w:hAnsi="Helvetica"/>
          <w:b/>
          <w:bCs/>
          <w:color w:val="002060"/>
          <w:sz w:val="27"/>
          <w:szCs w:val="27"/>
        </w:rPr>
        <w:t xml:space="preserve"> for Newsletters</w:t>
      </w:r>
    </w:p>
    <w:p w14:paraId="6F473733" w14:textId="7CA93706" w:rsidR="00B875FF" w:rsidRPr="00B875FF" w:rsidRDefault="00B875FF" w:rsidP="165376B1">
      <w:pPr>
        <w:spacing w:before="0"/>
        <w:rPr>
          <w:rFonts w:asciiTheme="minorHAnsi" w:hAnsiTheme="minorHAnsi"/>
          <w:b/>
          <w:bCs/>
          <w:sz w:val="28"/>
          <w:szCs w:val="28"/>
        </w:rPr>
      </w:pPr>
      <w:r w:rsidRPr="165376B1">
        <w:rPr>
          <w:rFonts w:asciiTheme="minorHAnsi" w:hAnsiTheme="minorHAnsi"/>
          <w:b/>
          <w:bCs/>
          <w:sz w:val="28"/>
          <w:szCs w:val="28"/>
        </w:rPr>
        <w:t>Clearinghouse-II and CDL Downgrades</w:t>
      </w:r>
      <w:r>
        <w:br/>
      </w:r>
      <w:r w:rsidRPr="165376B1">
        <w:rPr>
          <w:i/>
          <w:iCs/>
        </w:rPr>
        <w:t xml:space="preserve">CDL drivers with drug and alcohol program violations will lose </w:t>
      </w:r>
      <w:r w:rsidR="0826F77D" w:rsidRPr="165376B1">
        <w:rPr>
          <w:i/>
          <w:iCs/>
        </w:rPr>
        <w:t xml:space="preserve">State-issued </w:t>
      </w:r>
      <w:r w:rsidRPr="165376B1">
        <w:rPr>
          <w:i/>
          <w:iCs/>
        </w:rPr>
        <w:t>commercial driving privileges.</w:t>
      </w:r>
    </w:p>
    <w:p w14:paraId="14354804" w14:textId="6CF4E5BD" w:rsidR="003D2F5F" w:rsidRPr="003D2F5F" w:rsidRDefault="003D2F5F" w:rsidP="003D2F5F">
      <w:pPr>
        <w:pStyle w:val="NoSpacing"/>
        <w:rPr>
          <w:rStyle w:val="normaltextrun"/>
        </w:rPr>
      </w:pPr>
      <w:bookmarkStart w:id="0" w:name="_Hlk154684386"/>
      <w:r w:rsidRPr="003D2F5F">
        <w:rPr>
          <w:rStyle w:val="normaltextrun"/>
        </w:rPr>
        <w:t xml:space="preserve">Beginning November 18, 2024, having a “prohibited” status in FMCSA’s </w:t>
      </w:r>
      <w:hyperlink r:id="rId11" w:history="1">
        <w:r w:rsidRPr="00F460C9">
          <w:rPr>
            <w:rStyle w:val="Hyperlink"/>
          </w:rPr>
          <w:t>Drug and Alcohol Clearinghouse</w:t>
        </w:r>
      </w:hyperlink>
      <w:r w:rsidRPr="003D2F5F">
        <w:rPr>
          <w:rStyle w:val="normaltextrun"/>
        </w:rPr>
        <w:t xml:space="preserve"> due to a drug and alcohol program violation will result in losing or being denied a commercial driver’s license (CDL) or commercial learner’s permit (CLP).</w:t>
      </w:r>
    </w:p>
    <w:bookmarkEnd w:id="0"/>
    <w:p w14:paraId="5B188BEE" w14:textId="77777777" w:rsidR="003D2F5F" w:rsidRPr="003D2F5F" w:rsidRDefault="003D2F5F" w:rsidP="003D2F5F">
      <w:pPr>
        <w:pStyle w:val="NoSpacing"/>
        <w:rPr>
          <w:rStyle w:val="normaltextrun"/>
        </w:rPr>
      </w:pPr>
    </w:p>
    <w:p w14:paraId="57BD186E" w14:textId="64D6A91C" w:rsidR="003D2F5F" w:rsidRPr="003D2F5F" w:rsidRDefault="003D2F5F" w:rsidP="003D2F5F">
      <w:pPr>
        <w:pStyle w:val="NoSpacing"/>
        <w:rPr>
          <w:rStyle w:val="normaltextrun"/>
        </w:rPr>
      </w:pPr>
      <w:bookmarkStart w:id="1" w:name="_Hlk154684174"/>
      <w:r w:rsidRPr="165376B1">
        <w:rPr>
          <w:rStyle w:val="normaltextrun"/>
        </w:rPr>
        <w:t>As part of new Federal regulations, FMCSA is partnering with State Driver</w:t>
      </w:r>
      <w:r w:rsidR="002E02C8" w:rsidRPr="165376B1">
        <w:rPr>
          <w:rStyle w:val="normaltextrun"/>
        </w:rPr>
        <w:t>’s</w:t>
      </w:r>
      <w:r w:rsidRPr="165376B1">
        <w:rPr>
          <w:rStyle w:val="normaltextrun"/>
        </w:rPr>
        <w:t xml:space="preserve"> Licensing Agencies (SDLAs) so that drivers with a “prohibited” Clearinghouse status will lose or be denied their State-issued commercial driving privileges. This adds a layer of safety, making it more difficult for drivers to conceal their drug and alcohol program violations from current or prospective employers and evade the commercial motor vehicle (CMV) driving prohibition. It also supports FMCSA’s goal of ensuring that only qualified drivers are eligible to receive and retain a commercial license, thereby making roadways safer for motor carriers and the traveling public.</w:t>
      </w:r>
    </w:p>
    <w:bookmarkEnd w:id="1"/>
    <w:p w14:paraId="0C5F0E2E" w14:textId="77777777" w:rsidR="003D2F5F" w:rsidRPr="003D2F5F" w:rsidRDefault="003D2F5F" w:rsidP="003D2F5F">
      <w:pPr>
        <w:pStyle w:val="NoSpacing"/>
        <w:rPr>
          <w:rStyle w:val="normaltextrun"/>
        </w:rPr>
      </w:pPr>
    </w:p>
    <w:p w14:paraId="35AFA280" w14:textId="77777777" w:rsidR="003D2F5F" w:rsidRPr="003D2F5F" w:rsidRDefault="003D2F5F" w:rsidP="003D2F5F">
      <w:pPr>
        <w:pStyle w:val="NoSpacing"/>
        <w:rPr>
          <w:rStyle w:val="normaltextrun"/>
          <w:b/>
          <w:bCs/>
        </w:rPr>
      </w:pPr>
      <w:r w:rsidRPr="003D2F5F">
        <w:rPr>
          <w:rStyle w:val="normaltextrun"/>
          <w:b/>
          <w:bCs/>
        </w:rPr>
        <w:t>Safer People, Safer Roads</w:t>
      </w:r>
    </w:p>
    <w:p w14:paraId="2DF9CD49" w14:textId="2B407EB6" w:rsidR="003D2F5F" w:rsidRPr="003D2F5F" w:rsidRDefault="003D2F5F" w:rsidP="003D2F5F">
      <w:pPr>
        <w:pStyle w:val="NoSpacing"/>
        <w:rPr>
          <w:rStyle w:val="normaltextrun"/>
        </w:rPr>
      </w:pPr>
      <w:r w:rsidRPr="165376B1">
        <w:rPr>
          <w:rStyle w:val="normaltextrun"/>
        </w:rPr>
        <w:t xml:space="preserve">Drivers who operate a CMV on public roads fill a vital role in moving commerce. They also play a critical role in roadway safety. To help keep our Nation’s roads safe for everyone, the U.S. Department of Transportation (DOT) established rules which CMV operators must follow regarding the use of alcohol and controlled substances (drugs). Drivers who violate these drug and alcohol program regulations — either through a positive test result, actual knowledge of use, or by refusing to test — are prohibited from operating CMVs until they complete the </w:t>
      </w:r>
      <w:hyperlink r:id="rId12">
        <w:r w:rsidRPr="165376B1">
          <w:rPr>
            <w:rStyle w:val="Hyperlink"/>
          </w:rPr>
          <w:t>return-to-duty process</w:t>
        </w:r>
      </w:hyperlink>
      <w:r w:rsidRPr="165376B1">
        <w:rPr>
          <w:rStyle w:val="normaltextrun"/>
        </w:rPr>
        <w:t>. These drug and alcohol program violations, and certain steps in the return-to-duty process, are recorded in the Drug and Alcohol Clearinghouse.</w:t>
      </w:r>
    </w:p>
    <w:p w14:paraId="6345399E" w14:textId="77777777" w:rsidR="003D2F5F" w:rsidRPr="003D2F5F" w:rsidRDefault="003D2F5F" w:rsidP="003D2F5F">
      <w:pPr>
        <w:pStyle w:val="NoSpacing"/>
        <w:rPr>
          <w:rStyle w:val="normaltextrun"/>
        </w:rPr>
      </w:pPr>
    </w:p>
    <w:p w14:paraId="71C042E7" w14:textId="77777777" w:rsidR="003D2F5F" w:rsidRPr="003D2F5F" w:rsidRDefault="003D2F5F" w:rsidP="003D2F5F">
      <w:pPr>
        <w:pStyle w:val="NoSpacing"/>
        <w:rPr>
          <w:rStyle w:val="normaltextrun"/>
          <w:b/>
          <w:bCs/>
        </w:rPr>
      </w:pPr>
      <w:bookmarkStart w:id="2" w:name="_Hlk154684338"/>
      <w:r w:rsidRPr="003D2F5F">
        <w:rPr>
          <w:rStyle w:val="normaltextrun"/>
          <w:b/>
          <w:bCs/>
        </w:rPr>
        <w:t>November 18, 2024 — Or Sooner</w:t>
      </w:r>
    </w:p>
    <w:bookmarkEnd w:id="2"/>
    <w:p w14:paraId="77D39652" w14:textId="77777777" w:rsidR="003D2F5F" w:rsidRPr="003D2F5F" w:rsidRDefault="003D2F5F" w:rsidP="003D2F5F">
      <w:pPr>
        <w:pStyle w:val="NoSpacing"/>
        <w:rPr>
          <w:rStyle w:val="normaltextrun"/>
        </w:rPr>
      </w:pPr>
      <w:r w:rsidRPr="003D2F5F">
        <w:rPr>
          <w:rStyle w:val="normaltextrun"/>
        </w:rPr>
        <w:t>The new regulations require SDLAs to begin downgrading CDLs on November 18, 2024. However, some CDL downgrades may begin sooner.</w:t>
      </w:r>
    </w:p>
    <w:p w14:paraId="0B3AB21E" w14:textId="77777777" w:rsidR="003D2F5F" w:rsidRPr="003D2F5F" w:rsidRDefault="003D2F5F" w:rsidP="003D2F5F">
      <w:pPr>
        <w:pStyle w:val="NoSpacing"/>
        <w:rPr>
          <w:rStyle w:val="normaltextrun"/>
        </w:rPr>
      </w:pPr>
    </w:p>
    <w:p w14:paraId="65CFD2C8" w14:textId="64533015" w:rsidR="003D2F5F" w:rsidRPr="003D2F5F" w:rsidRDefault="003D2F5F" w:rsidP="003D2F5F">
      <w:pPr>
        <w:pStyle w:val="NoSpacing"/>
        <w:rPr>
          <w:rStyle w:val="normaltextrun"/>
        </w:rPr>
      </w:pPr>
      <w:r w:rsidRPr="165376B1">
        <w:rPr>
          <w:rStyle w:val="normaltextrun"/>
        </w:rPr>
        <w:t>States with legislative authority currently have the option to voluntarily query the Clearinghouse and downgrade CDLs for prohibited drivers</w:t>
      </w:r>
      <w:r w:rsidR="00861369" w:rsidRPr="165376B1">
        <w:rPr>
          <w:rStyle w:val="normaltextrun"/>
        </w:rPr>
        <w:t>,</w:t>
      </w:r>
      <w:r w:rsidRPr="165376B1">
        <w:rPr>
          <w:rStyle w:val="normaltextrun"/>
        </w:rPr>
        <w:t xml:space="preserve"> and may do so before the November 18, 2024 compliance date.</w:t>
      </w:r>
    </w:p>
    <w:p w14:paraId="70D63119" w14:textId="77777777" w:rsidR="003D2F5F" w:rsidRPr="003D2F5F" w:rsidRDefault="003D2F5F" w:rsidP="003D2F5F">
      <w:pPr>
        <w:pStyle w:val="NoSpacing"/>
        <w:rPr>
          <w:rStyle w:val="normaltextrun"/>
        </w:rPr>
      </w:pPr>
    </w:p>
    <w:p w14:paraId="6426823E" w14:textId="77777777" w:rsidR="003D2F5F" w:rsidRPr="003D2F5F" w:rsidRDefault="003D2F5F" w:rsidP="003D2F5F">
      <w:pPr>
        <w:pStyle w:val="NoSpacing"/>
        <w:rPr>
          <w:rStyle w:val="normaltextrun"/>
          <w:b/>
          <w:bCs/>
        </w:rPr>
      </w:pPr>
      <w:r w:rsidRPr="003D2F5F">
        <w:rPr>
          <w:rStyle w:val="normaltextrun"/>
          <w:b/>
          <w:bCs/>
        </w:rPr>
        <w:t>Reinstating CDLs</w:t>
      </w:r>
    </w:p>
    <w:p w14:paraId="345F6F99" w14:textId="4CE799B6" w:rsidR="003D2F5F" w:rsidRPr="003D2F5F" w:rsidRDefault="003D2F5F" w:rsidP="003D2F5F">
      <w:pPr>
        <w:pStyle w:val="NoSpacing"/>
        <w:rPr>
          <w:rStyle w:val="normaltextrun"/>
        </w:rPr>
      </w:pPr>
      <w:bookmarkStart w:id="3" w:name="_Hlk154684592"/>
      <w:r w:rsidRPr="65DC1F7E">
        <w:rPr>
          <w:rStyle w:val="normaltextrun"/>
        </w:rPr>
        <w:lastRenderedPageBreak/>
        <w:t xml:space="preserve">The </w:t>
      </w:r>
      <w:r w:rsidR="731981D9" w:rsidRPr="65DC1F7E">
        <w:rPr>
          <w:rStyle w:val="normaltextrun"/>
        </w:rPr>
        <w:t xml:space="preserve">U.S. </w:t>
      </w:r>
      <w:r w:rsidRPr="65DC1F7E">
        <w:rPr>
          <w:rStyle w:val="normaltextrun"/>
        </w:rPr>
        <w:t>DOT has established a process for being able to return to commercial driving duties, after incurring a drug and alcohol program violation. This process requires these prohibited drivers to work with a professional to receive and complete the required evaluation, treatment, and testing before they can resume operating CMVs on public roads.</w:t>
      </w:r>
    </w:p>
    <w:p w14:paraId="4C4909B6" w14:textId="77777777" w:rsidR="003D2F5F" w:rsidRPr="003D2F5F" w:rsidRDefault="003D2F5F" w:rsidP="003D2F5F">
      <w:pPr>
        <w:pStyle w:val="NoSpacing"/>
        <w:rPr>
          <w:rStyle w:val="normaltextrun"/>
        </w:rPr>
      </w:pPr>
    </w:p>
    <w:p w14:paraId="29066FBF" w14:textId="377B9D10" w:rsidR="003D2F5F" w:rsidRDefault="003D2F5F" w:rsidP="003D2F5F">
      <w:pPr>
        <w:pStyle w:val="NoSpacing"/>
        <w:rPr>
          <w:rStyle w:val="normaltextrun"/>
        </w:rPr>
      </w:pPr>
      <w:r w:rsidRPr="003D2F5F">
        <w:rPr>
          <w:rStyle w:val="normaltextrun"/>
        </w:rPr>
        <w:t xml:space="preserve">FMCSA has created a resource that outlines the steps drivers must take to complete their return-to-duty process: download the </w:t>
      </w:r>
      <w:hyperlink r:id="rId13" w:history="1">
        <w:r w:rsidRPr="00F460C9">
          <w:rPr>
            <w:rStyle w:val="Hyperlink"/>
          </w:rPr>
          <w:t>Return-to-Duty Quick Reference Guide</w:t>
        </w:r>
      </w:hyperlink>
      <w:r w:rsidRPr="003D2F5F">
        <w:rPr>
          <w:rStyle w:val="normaltextrun"/>
        </w:rPr>
        <w:t xml:space="preserve">. For more information, visit the </w:t>
      </w:r>
      <w:hyperlink r:id="rId14" w:history="1">
        <w:r w:rsidRPr="00F460C9">
          <w:rPr>
            <w:rStyle w:val="Hyperlink"/>
          </w:rPr>
          <w:t>Clearinghouse Learning Center</w:t>
        </w:r>
      </w:hyperlink>
      <w:r w:rsidRPr="003D2F5F">
        <w:rPr>
          <w:rStyle w:val="normaltextrun"/>
        </w:rPr>
        <w:t>.</w:t>
      </w:r>
    </w:p>
    <w:bookmarkEnd w:id="3"/>
    <w:p w14:paraId="76F9CA0D" w14:textId="77777777" w:rsidR="003D2F5F" w:rsidRPr="003D2F5F" w:rsidRDefault="003D2F5F" w:rsidP="003D2F5F">
      <w:pPr>
        <w:pStyle w:val="NoSpacing"/>
        <w:rPr>
          <w:rStyle w:val="normaltextrun"/>
        </w:rPr>
      </w:pPr>
    </w:p>
    <w:p w14:paraId="67C9427E" w14:textId="77777777" w:rsidR="003D2F5F" w:rsidRPr="003D2F5F" w:rsidRDefault="003D2F5F" w:rsidP="003D2F5F">
      <w:pPr>
        <w:pStyle w:val="NoSpacing"/>
        <w:rPr>
          <w:rStyle w:val="normaltextrun"/>
          <w:b/>
          <w:bCs/>
        </w:rPr>
      </w:pPr>
      <w:r w:rsidRPr="003D2F5F">
        <w:rPr>
          <w:rStyle w:val="normaltextrun"/>
          <w:b/>
          <w:bCs/>
        </w:rPr>
        <w:t>Learn More</w:t>
      </w:r>
    </w:p>
    <w:p w14:paraId="2F08B9A9" w14:textId="420F8370" w:rsidR="003D2F5F" w:rsidRPr="003D2F5F" w:rsidRDefault="003D2F5F" w:rsidP="003D2F5F">
      <w:pPr>
        <w:pStyle w:val="NoSpacing"/>
        <w:rPr>
          <w:rStyle w:val="normaltextrun"/>
        </w:rPr>
      </w:pPr>
      <w:r w:rsidRPr="003D2F5F">
        <w:rPr>
          <w:rStyle w:val="normaltextrun"/>
        </w:rPr>
        <w:t xml:space="preserve">FMCSA has published a set of frequently asked questions to help CDL drivers understand the new requirements and what actions they can take to retain or reinstate their commercial driving privileges, if needed. These FAQs — and more — are available on the Clearinghouse website. Visit </w:t>
      </w:r>
      <w:hyperlink r:id="rId15" w:history="1">
        <w:r w:rsidR="006F5AC7" w:rsidRPr="006F5AC7">
          <w:rPr>
            <w:rStyle w:val="Hyperlink"/>
          </w:rPr>
          <w:t>https://clearinghouse.fmcsa.dot.gov/FAQ/Topics/CDL-Downgrades</w:t>
        </w:r>
      </w:hyperlink>
      <w:r w:rsidR="006F5AC7">
        <w:rPr>
          <w:rStyle w:val="normaltextrun"/>
        </w:rPr>
        <w:t xml:space="preserve"> </w:t>
      </w:r>
      <w:r w:rsidRPr="003D2F5F">
        <w:rPr>
          <w:rStyle w:val="normaltextrun"/>
        </w:rPr>
        <w:t>to learn more about how a driver’s status in the Clearinghouse impacts CDL downgrades.</w:t>
      </w:r>
    </w:p>
    <w:p w14:paraId="6F47F65E" w14:textId="4172DF46" w:rsidR="006551DF" w:rsidRDefault="006551DF" w:rsidP="65DC1F7E">
      <w:pPr>
        <w:pStyle w:val="NoSpacing"/>
        <w:rPr>
          <w:rStyle w:val="normaltextrun"/>
        </w:rPr>
      </w:pPr>
    </w:p>
    <w:p w14:paraId="1FDE5462" w14:textId="77777777" w:rsidR="0064034A" w:rsidRDefault="0064034A" w:rsidP="006551DF">
      <w:pPr>
        <w:pStyle w:val="NoSpacing"/>
      </w:pPr>
    </w:p>
    <w:p w14:paraId="7BF73248" w14:textId="42674E8D" w:rsidR="001929D7" w:rsidRPr="006551DF" w:rsidRDefault="006551DF" w:rsidP="006551DF">
      <w:pPr>
        <w:pStyle w:val="Heading2"/>
        <w:shd w:val="clear" w:color="auto" w:fill="DEEAF6" w:themeFill="accent5" w:themeFillTint="33"/>
        <w:spacing w:before="0" w:after="60" w:line="375" w:lineRule="atLeast"/>
        <w:rPr>
          <w:rFonts w:ascii="Helvetica" w:hAnsi="Helvetica"/>
          <w:b/>
          <w:bCs/>
          <w:color w:val="002060"/>
          <w:sz w:val="27"/>
          <w:szCs w:val="27"/>
        </w:rPr>
      </w:pPr>
      <w:r w:rsidRPr="006551DF">
        <w:rPr>
          <w:rFonts w:ascii="Helvetica" w:hAnsi="Helvetica"/>
          <w:b/>
          <w:bCs/>
          <w:color w:val="002060"/>
          <w:sz w:val="27"/>
          <w:szCs w:val="27"/>
        </w:rPr>
        <w:t xml:space="preserve">Sample </w:t>
      </w:r>
      <w:r w:rsidR="00FD235E">
        <w:rPr>
          <w:rFonts w:ascii="Helvetica" w:hAnsi="Helvetica"/>
          <w:b/>
          <w:bCs/>
          <w:color w:val="002060"/>
          <w:sz w:val="27"/>
          <w:szCs w:val="27"/>
        </w:rPr>
        <w:t>e-</w:t>
      </w:r>
      <w:r w:rsidRPr="006551DF">
        <w:rPr>
          <w:rFonts w:ascii="Helvetica" w:hAnsi="Helvetica"/>
          <w:b/>
          <w:bCs/>
          <w:color w:val="002060"/>
          <w:sz w:val="27"/>
          <w:szCs w:val="27"/>
        </w:rPr>
        <w:t>Newsletter Blurbs</w:t>
      </w:r>
    </w:p>
    <w:p w14:paraId="1A27FA71" w14:textId="77777777" w:rsidR="006551DF" w:rsidRDefault="006551DF" w:rsidP="006551DF">
      <w:pPr>
        <w:pStyle w:val="NoSpacing"/>
      </w:pPr>
    </w:p>
    <w:p w14:paraId="283ACE17" w14:textId="7D7C71FE" w:rsidR="006F5AC7" w:rsidRPr="00B875FF" w:rsidRDefault="006F5AC7" w:rsidP="006F5AC7">
      <w:pPr>
        <w:spacing w:before="0" w:after="0"/>
        <w:rPr>
          <w:rFonts w:asciiTheme="minorHAnsi" w:hAnsiTheme="minorHAnsi" w:cstheme="minorHAnsi"/>
          <w:b/>
          <w:bCs/>
          <w:sz w:val="28"/>
          <w:szCs w:val="28"/>
        </w:rPr>
      </w:pPr>
      <w:r>
        <w:rPr>
          <w:rFonts w:asciiTheme="minorHAnsi" w:hAnsiTheme="minorHAnsi" w:cstheme="minorHAnsi"/>
          <w:b/>
          <w:bCs/>
          <w:sz w:val="28"/>
          <w:szCs w:val="28"/>
        </w:rPr>
        <w:t>Clearinghouse-II and CDL Downgrades</w:t>
      </w:r>
      <w:r>
        <w:rPr>
          <w:i/>
          <w:iCs/>
        </w:rPr>
        <w:t>.</w:t>
      </w:r>
    </w:p>
    <w:p w14:paraId="730114A1" w14:textId="57210F14" w:rsidR="006F5AC7" w:rsidRDefault="006F5AC7" w:rsidP="006F5AC7">
      <w:pPr>
        <w:pStyle w:val="NoSpacing"/>
        <w:rPr>
          <w:rStyle w:val="normaltextrun"/>
        </w:rPr>
      </w:pPr>
      <w:r w:rsidRPr="65DC1F7E">
        <w:rPr>
          <w:rStyle w:val="normaltextrun"/>
        </w:rPr>
        <w:t xml:space="preserve">Beginning November 18, 2024, having a “prohibited” status in FMCSA’s </w:t>
      </w:r>
      <w:r>
        <w:t>Drug and Alcohol Clearinghouse</w:t>
      </w:r>
      <w:r w:rsidRPr="65DC1F7E">
        <w:rPr>
          <w:rStyle w:val="normaltextrun"/>
        </w:rPr>
        <w:t xml:space="preserve"> due to a drug and alcohol program violation will result in losing or being denied a commercial driver’s license (CDL) or commercial learner’s permit (CLP).</w:t>
      </w:r>
      <w:r w:rsidR="009B67EB" w:rsidRPr="65DC1F7E">
        <w:rPr>
          <w:rStyle w:val="normaltextrun"/>
        </w:rPr>
        <w:t xml:space="preserve"> For more information, visit </w:t>
      </w:r>
      <w:hyperlink r:id="rId16">
        <w:r w:rsidR="009B67EB" w:rsidRPr="65DC1F7E">
          <w:rPr>
            <w:rStyle w:val="Hyperlink"/>
          </w:rPr>
          <w:t>https://clearinghouse.fmcsa.dot.gov/about</w:t>
        </w:r>
      </w:hyperlink>
      <w:r w:rsidR="009B67EB" w:rsidRPr="65DC1F7E">
        <w:rPr>
          <w:rStyle w:val="normaltextrun"/>
        </w:rPr>
        <w:t>.</w:t>
      </w:r>
    </w:p>
    <w:p w14:paraId="59C2B0B1" w14:textId="77777777" w:rsidR="009B67EB" w:rsidRDefault="009B67EB" w:rsidP="006F5AC7">
      <w:pPr>
        <w:pStyle w:val="NoSpacing"/>
        <w:rPr>
          <w:rStyle w:val="normaltextrun"/>
        </w:rPr>
      </w:pPr>
    </w:p>
    <w:p w14:paraId="57A87886" w14:textId="1646629C" w:rsidR="009B67EB" w:rsidRDefault="009B67EB" w:rsidP="006F5AC7">
      <w:pPr>
        <w:pStyle w:val="NoSpacing"/>
        <w:rPr>
          <w:rStyle w:val="normaltextrun"/>
        </w:rPr>
      </w:pPr>
      <w:r>
        <w:rPr>
          <w:rStyle w:val="normaltextrun"/>
        </w:rPr>
        <w:t>--</w:t>
      </w:r>
    </w:p>
    <w:p w14:paraId="1E22F508" w14:textId="77777777" w:rsidR="009B67EB" w:rsidRDefault="009B67EB" w:rsidP="006F5AC7">
      <w:pPr>
        <w:pStyle w:val="NoSpacing"/>
        <w:rPr>
          <w:rStyle w:val="normaltextrun"/>
        </w:rPr>
      </w:pPr>
    </w:p>
    <w:p w14:paraId="4569C53E" w14:textId="0CBA32FD" w:rsidR="009B67EB" w:rsidRPr="009B67EB" w:rsidRDefault="009B67EB" w:rsidP="006F5AC7">
      <w:pPr>
        <w:pStyle w:val="NoSpacing"/>
        <w:rPr>
          <w:rStyle w:val="normaltextrun"/>
          <w:rFonts w:asciiTheme="minorHAnsi" w:hAnsiTheme="minorHAnsi" w:cstheme="minorHAnsi"/>
          <w:b/>
          <w:bCs/>
          <w:sz w:val="28"/>
          <w:szCs w:val="28"/>
        </w:rPr>
      </w:pPr>
      <w:r w:rsidRPr="009B67EB">
        <w:rPr>
          <w:rFonts w:asciiTheme="minorHAnsi" w:hAnsiTheme="minorHAnsi" w:cstheme="minorHAnsi"/>
          <w:b/>
          <w:bCs/>
          <w:color w:val="auto"/>
          <w:sz w:val="28"/>
          <w:szCs w:val="28"/>
          <w:shd w:val="clear" w:color="auto" w:fill="auto"/>
        </w:rPr>
        <w:t xml:space="preserve">CDL </w:t>
      </w:r>
      <w:r w:rsidRPr="009B67EB">
        <w:rPr>
          <w:rFonts w:asciiTheme="minorHAnsi" w:hAnsiTheme="minorHAnsi" w:cstheme="minorHAnsi"/>
          <w:b/>
          <w:bCs/>
          <w:sz w:val="28"/>
          <w:szCs w:val="28"/>
        </w:rPr>
        <w:t>D</w:t>
      </w:r>
      <w:r w:rsidRPr="009B67EB">
        <w:rPr>
          <w:rFonts w:asciiTheme="minorHAnsi" w:hAnsiTheme="minorHAnsi" w:cstheme="minorHAnsi"/>
          <w:b/>
          <w:bCs/>
          <w:color w:val="auto"/>
          <w:sz w:val="28"/>
          <w:szCs w:val="28"/>
          <w:shd w:val="clear" w:color="auto" w:fill="auto"/>
        </w:rPr>
        <w:t xml:space="preserve">rivers with </w:t>
      </w:r>
      <w:r w:rsidRPr="009B67EB">
        <w:rPr>
          <w:rFonts w:asciiTheme="minorHAnsi" w:hAnsiTheme="minorHAnsi" w:cstheme="minorHAnsi"/>
          <w:b/>
          <w:bCs/>
          <w:sz w:val="28"/>
          <w:szCs w:val="28"/>
        </w:rPr>
        <w:t>D</w:t>
      </w:r>
      <w:r w:rsidRPr="009B67EB">
        <w:rPr>
          <w:rFonts w:asciiTheme="minorHAnsi" w:hAnsiTheme="minorHAnsi" w:cstheme="minorHAnsi"/>
          <w:b/>
          <w:bCs/>
          <w:color w:val="auto"/>
          <w:sz w:val="28"/>
          <w:szCs w:val="28"/>
          <w:shd w:val="clear" w:color="auto" w:fill="auto"/>
        </w:rPr>
        <w:t xml:space="preserve">rug and </w:t>
      </w:r>
      <w:r w:rsidRPr="009B67EB">
        <w:rPr>
          <w:rFonts w:asciiTheme="minorHAnsi" w:hAnsiTheme="minorHAnsi" w:cstheme="minorHAnsi"/>
          <w:b/>
          <w:bCs/>
          <w:sz w:val="28"/>
          <w:szCs w:val="28"/>
        </w:rPr>
        <w:t>A</w:t>
      </w:r>
      <w:r w:rsidRPr="009B67EB">
        <w:rPr>
          <w:rFonts w:asciiTheme="minorHAnsi" w:hAnsiTheme="minorHAnsi" w:cstheme="minorHAnsi"/>
          <w:b/>
          <w:bCs/>
          <w:color w:val="auto"/>
          <w:sz w:val="28"/>
          <w:szCs w:val="28"/>
          <w:shd w:val="clear" w:color="auto" w:fill="auto"/>
        </w:rPr>
        <w:t xml:space="preserve">lcohol </w:t>
      </w:r>
      <w:r w:rsidRPr="009B67EB">
        <w:rPr>
          <w:rFonts w:asciiTheme="minorHAnsi" w:hAnsiTheme="minorHAnsi" w:cstheme="minorHAnsi"/>
          <w:b/>
          <w:bCs/>
          <w:sz w:val="28"/>
          <w:szCs w:val="28"/>
        </w:rPr>
        <w:t>P</w:t>
      </w:r>
      <w:r w:rsidRPr="009B67EB">
        <w:rPr>
          <w:rFonts w:asciiTheme="minorHAnsi" w:hAnsiTheme="minorHAnsi" w:cstheme="minorHAnsi"/>
          <w:b/>
          <w:bCs/>
          <w:color w:val="auto"/>
          <w:sz w:val="28"/>
          <w:szCs w:val="28"/>
          <w:shd w:val="clear" w:color="auto" w:fill="auto"/>
        </w:rPr>
        <w:t xml:space="preserve">rogram </w:t>
      </w:r>
      <w:r w:rsidRPr="009B67EB">
        <w:rPr>
          <w:rFonts w:asciiTheme="minorHAnsi" w:hAnsiTheme="minorHAnsi" w:cstheme="minorHAnsi"/>
          <w:b/>
          <w:bCs/>
          <w:sz w:val="28"/>
          <w:szCs w:val="28"/>
        </w:rPr>
        <w:t>V</w:t>
      </w:r>
      <w:r w:rsidRPr="009B67EB">
        <w:rPr>
          <w:rFonts w:asciiTheme="minorHAnsi" w:hAnsiTheme="minorHAnsi" w:cstheme="minorHAnsi"/>
          <w:b/>
          <w:bCs/>
          <w:color w:val="auto"/>
          <w:sz w:val="28"/>
          <w:szCs w:val="28"/>
          <w:shd w:val="clear" w:color="auto" w:fill="auto"/>
        </w:rPr>
        <w:t xml:space="preserve">iolations </w:t>
      </w:r>
      <w:r w:rsidR="00264E90">
        <w:rPr>
          <w:rFonts w:asciiTheme="minorHAnsi" w:hAnsiTheme="minorHAnsi" w:cstheme="minorHAnsi"/>
          <w:b/>
          <w:bCs/>
          <w:sz w:val="28"/>
          <w:szCs w:val="28"/>
        </w:rPr>
        <w:t>W</w:t>
      </w:r>
      <w:r w:rsidRPr="009B67EB">
        <w:rPr>
          <w:rFonts w:asciiTheme="minorHAnsi" w:hAnsiTheme="minorHAnsi" w:cstheme="minorHAnsi"/>
          <w:b/>
          <w:bCs/>
          <w:color w:val="auto"/>
          <w:sz w:val="28"/>
          <w:szCs w:val="28"/>
          <w:shd w:val="clear" w:color="auto" w:fill="auto"/>
        </w:rPr>
        <w:t xml:space="preserve">ill </w:t>
      </w:r>
      <w:r w:rsidRPr="009B67EB">
        <w:rPr>
          <w:rFonts w:asciiTheme="minorHAnsi" w:hAnsiTheme="minorHAnsi" w:cstheme="minorHAnsi"/>
          <w:b/>
          <w:bCs/>
          <w:sz w:val="28"/>
          <w:szCs w:val="28"/>
        </w:rPr>
        <w:t>L</w:t>
      </w:r>
      <w:r w:rsidRPr="009B67EB">
        <w:rPr>
          <w:rFonts w:asciiTheme="minorHAnsi" w:hAnsiTheme="minorHAnsi" w:cstheme="minorHAnsi"/>
          <w:b/>
          <w:bCs/>
          <w:color w:val="auto"/>
          <w:sz w:val="28"/>
          <w:szCs w:val="28"/>
          <w:shd w:val="clear" w:color="auto" w:fill="auto"/>
        </w:rPr>
        <w:t xml:space="preserve">ose </w:t>
      </w:r>
      <w:r w:rsidRPr="009B67EB">
        <w:rPr>
          <w:rFonts w:asciiTheme="minorHAnsi" w:hAnsiTheme="minorHAnsi" w:cstheme="minorHAnsi"/>
          <w:b/>
          <w:bCs/>
          <w:sz w:val="28"/>
          <w:szCs w:val="28"/>
        </w:rPr>
        <w:t>C</w:t>
      </w:r>
      <w:r w:rsidRPr="009B67EB">
        <w:rPr>
          <w:rFonts w:asciiTheme="minorHAnsi" w:hAnsiTheme="minorHAnsi" w:cstheme="minorHAnsi"/>
          <w:b/>
          <w:bCs/>
          <w:color w:val="auto"/>
          <w:sz w:val="28"/>
          <w:szCs w:val="28"/>
          <w:shd w:val="clear" w:color="auto" w:fill="auto"/>
        </w:rPr>
        <w:t xml:space="preserve">ommercial </w:t>
      </w:r>
      <w:r w:rsidRPr="009B67EB">
        <w:rPr>
          <w:rFonts w:asciiTheme="minorHAnsi" w:hAnsiTheme="minorHAnsi" w:cstheme="minorHAnsi"/>
          <w:b/>
          <w:bCs/>
          <w:sz w:val="28"/>
          <w:szCs w:val="28"/>
        </w:rPr>
        <w:t>D</w:t>
      </w:r>
      <w:r w:rsidRPr="009B67EB">
        <w:rPr>
          <w:rFonts w:asciiTheme="minorHAnsi" w:hAnsiTheme="minorHAnsi" w:cstheme="minorHAnsi"/>
          <w:b/>
          <w:bCs/>
          <w:color w:val="auto"/>
          <w:sz w:val="28"/>
          <w:szCs w:val="28"/>
          <w:shd w:val="clear" w:color="auto" w:fill="auto"/>
        </w:rPr>
        <w:t xml:space="preserve">riving </w:t>
      </w:r>
      <w:r w:rsidRPr="009B67EB">
        <w:rPr>
          <w:rFonts w:asciiTheme="minorHAnsi" w:hAnsiTheme="minorHAnsi" w:cstheme="minorHAnsi"/>
          <w:b/>
          <w:bCs/>
          <w:sz w:val="28"/>
          <w:szCs w:val="28"/>
        </w:rPr>
        <w:t>P</w:t>
      </w:r>
      <w:r w:rsidRPr="009B67EB">
        <w:rPr>
          <w:rFonts w:asciiTheme="minorHAnsi" w:hAnsiTheme="minorHAnsi" w:cstheme="minorHAnsi"/>
          <w:b/>
          <w:bCs/>
          <w:color w:val="auto"/>
          <w:sz w:val="28"/>
          <w:szCs w:val="28"/>
          <w:shd w:val="clear" w:color="auto" w:fill="auto"/>
        </w:rPr>
        <w:t>rivileges</w:t>
      </w:r>
    </w:p>
    <w:p w14:paraId="2845E84A" w14:textId="7914A9D2" w:rsidR="006F5AC7" w:rsidRPr="009B67EB" w:rsidRDefault="009B67EB" w:rsidP="006551DF">
      <w:pPr>
        <w:pStyle w:val="NoSpacing"/>
      </w:pPr>
      <w:r>
        <w:t>As part of new Federal regulations, FMCSA is partnering with State Driver</w:t>
      </w:r>
      <w:r w:rsidR="002E02C8">
        <w:t>’s</w:t>
      </w:r>
      <w:r>
        <w:t xml:space="preserve"> Licensing Agencies (SDLAs) so that drivers with a “prohibited” </w:t>
      </w:r>
      <w:r w:rsidR="67D20A5D">
        <w:t xml:space="preserve">status in the Drug and Alcohol </w:t>
      </w:r>
      <w:r>
        <w:t xml:space="preserve">Clearinghouse will lose or be denied their State-issued commercial driving privileges. </w:t>
      </w:r>
      <w:r w:rsidRPr="165376B1">
        <w:rPr>
          <w:rStyle w:val="normaltextrun"/>
        </w:rPr>
        <w:t xml:space="preserve">The new regulations require SDLAs to begin downgrading CDLs on November 18, 2024, but some </w:t>
      </w:r>
      <w:r w:rsidR="3ADB8250" w:rsidRPr="165376B1">
        <w:rPr>
          <w:rStyle w:val="normaltextrun"/>
        </w:rPr>
        <w:t xml:space="preserve">States may begin </w:t>
      </w:r>
      <w:r w:rsidRPr="165376B1">
        <w:rPr>
          <w:rStyle w:val="normaltextrun"/>
        </w:rPr>
        <w:t xml:space="preserve">CDL downgrades </w:t>
      </w:r>
      <w:r w:rsidR="37DFC79A" w:rsidRPr="165376B1">
        <w:rPr>
          <w:rStyle w:val="normaltextrun"/>
        </w:rPr>
        <w:t>earlier</w:t>
      </w:r>
      <w:r w:rsidRPr="165376B1">
        <w:rPr>
          <w:rStyle w:val="normaltextrun"/>
        </w:rPr>
        <w:t xml:space="preserve">. To learn more, visit </w:t>
      </w:r>
      <w:hyperlink r:id="rId17">
        <w:r w:rsidRPr="165376B1">
          <w:rPr>
            <w:rStyle w:val="Hyperlink"/>
          </w:rPr>
          <w:t>https://clearinghouse.fmcsa.dot.gov/about</w:t>
        </w:r>
      </w:hyperlink>
      <w:r w:rsidRPr="165376B1">
        <w:rPr>
          <w:rStyle w:val="normaltextrun"/>
        </w:rPr>
        <w:t>.</w:t>
      </w:r>
    </w:p>
    <w:p w14:paraId="514A3E09" w14:textId="77777777" w:rsidR="006F5AC7" w:rsidRDefault="006F5AC7" w:rsidP="006551DF">
      <w:pPr>
        <w:pStyle w:val="NoSpacing"/>
        <w:rPr>
          <w:b/>
          <w:bCs/>
          <w:sz w:val="28"/>
          <w:szCs w:val="28"/>
        </w:rPr>
      </w:pPr>
    </w:p>
    <w:p w14:paraId="72F40E0E" w14:textId="0F4A7B1E" w:rsidR="009B67EB" w:rsidRDefault="009B67EB" w:rsidP="006551DF">
      <w:pPr>
        <w:pStyle w:val="NoSpacing"/>
        <w:rPr>
          <w:b/>
          <w:bCs/>
          <w:sz w:val="28"/>
          <w:szCs w:val="28"/>
        </w:rPr>
      </w:pPr>
      <w:r w:rsidRPr="65DC1F7E">
        <w:t>--</w:t>
      </w:r>
    </w:p>
    <w:p w14:paraId="545976EC" w14:textId="72EEF42F" w:rsidR="103A663D" w:rsidRDefault="103A663D" w:rsidP="103A663D">
      <w:pPr>
        <w:pStyle w:val="paragraph"/>
        <w:spacing w:before="0" w:beforeAutospacing="0" w:after="0" w:afterAutospacing="0"/>
        <w:contextualSpacing/>
        <w:rPr>
          <w:rFonts w:ascii="Calibri" w:eastAsiaTheme="minorEastAsia" w:hAnsi="Calibri" w:cs="Calibri"/>
          <w:b/>
          <w:bCs/>
          <w:color w:val="000000" w:themeColor="text1"/>
          <w:sz w:val="28"/>
          <w:szCs w:val="28"/>
        </w:rPr>
      </w:pPr>
    </w:p>
    <w:p w14:paraId="2B64D6B7" w14:textId="77777777" w:rsidR="009B67EB" w:rsidRDefault="009B67EB" w:rsidP="103A663D">
      <w:pPr>
        <w:pStyle w:val="paragraph"/>
        <w:spacing w:before="0" w:beforeAutospacing="0" w:after="0" w:afterAutospacing="0"/>
        <w:contextualSpacing/>
        <w:textAlignment w:val="baseline"/>
        <w:rPr>
          <w:rFonts w:ascii="Calibri" w:eastAsiaTheme="minorEastAsia" w:hAnsi="Calibri" w:cs="Calibri"/>
          <w:b/>
          <w:bCs/>
          <w:color w:val="000000"/>
          <w:sz w:val="28"/>
          <w:szCs w:val="28"/>
          <w:shd w:val="clear" w:color="auto" w:fill="FFFFFF"/>
        </w:rPr>
      </w:pPr>
      <w:r w:rsidRPr="103A663D">
        <w:rPr>
          <w:rFonts w:ascii="Calibri" w:eastAsiaTheme="minorEastAsia" w:hAnsi="Calibri" w:cs="Calibri"/>
          <w:b/>
          <w:bCs/>
          <w:color w:val="000000"/>
          <w:sz w:val="28"/>
          <w:szCs w:val="28"/>
          <w:shd w:val="clear" w:color="auto" w:fill="FFFFFF"/>
        </w:rPr>
        <w:t>November 18, 2024 — Or Sooner</w:t>
      </w:r>
    </w:p>
    <w:p w14:paraId="3BC29680" w14:textId="707C3B08" w:rsidR="00C93403" w:rsidRPr="003D2F5F" w:rsidRDefault="00C93403" w:rsidP="00C93403">
      <w:pPr>
        <w:pStyle w:val="NoSpacing"/>
        <w:rPr>
          <w:rStyle w:val="normaltextrun"/>
        </w:rPr>
      </w:pPr>
      <w:r w:rsidRPr="165376B1">
        <w:rPr>
          <w:rStyle w:val="normaltextrun"/>
          <w:rFonts w:eastAsiaTheme="majorEastAsia"/>
        </w:rPr>
        <w:t>New Federal regulations mean that beginning November 18, 2024, having a “prohibited” status in FMCSA’s Drug and Alcohol Clearinghouse due to a drug and alcohol program violation will result in losing or being denied a commercial driver’s license</w:t>
      </w:r>
      <w:r w:rsidR="504148F7" w:rsidRPr="165376B1">
        <w:rPr>
          <w:rStyle w:val="normaltextrun"/>
          <w:rFonts w:eastAsiaTheme="majorEastAsia"/>
        </w:rPr>
        <w:t xml:space="preserve"> (CDL)</w:t>
      </w:r>
      <w:r w:rsidRPr="165376B1">
        <w:rPr>
          <w:rStyle w:val="normaltextrun"/>
          <w:rFonts w:eastAsiaTheme="majorEastAsia"/>
        </w:rPr>
        <w:t xml:space="preserve"> or commercial learner’s permit</w:t>
      </w:r>
      <w:r w:rsidR="5BE9218E" w:rsidRPr="165376B1">
        <w:rPr>
          <w:rStyle w:val="normaltextrun"/>
          <w:rFonts w:eastAsiaTheme="majorEastAsia"/>
        </w:rPr>
        <w:t xml:space="preserve"> (CLP)</w:t>
      </w:r>
      <w:r w:rsidRPr="165376B1">
        <w:rPr>
          <w:rStyle w:val="normaltextrun"/>
          <w:rFonts w:eastAsiaTheme="majorEastAsia"/>
        </w:rPr>
        <w:t>. However, some CDL downgrades may begin sooner</w:t>
      </w:r>
      <w:r w:rsidR="005113A4" w:rsidRPr="165376B1">
        <w:rPr>
          <w:rStyle w:val="normaltextrun"/>
          <w:rFonts w:eastAsiaTheme="majorEastAsia"/>
        </w:rPr>
        <w:t xml:space="preserve"> </w:t>
      </w:r>
      <w:r w:rsidRPr="165376B1">
        <w:rPr>
          <w:rStyle w:val="normaltextrun"/>
          <w:rFonts w:eastAsiaTheme="majorEastAsia"/>
        </w:rPr>
        <w:t>—</w:t>
      </w:r>
      <w:r w:rsidR="005113A4" w:rsidRPr="165376B1">
        <w:rPr>
          <w:rStyle w:val="normaltextrun"/>
          <w:rFonts w:eastAsiaTheme="majorEastAsia"/>
        </w:rPr>
        <w:t xml:space="preserve"> </w:t>
      </w:r>
      <w:r w:rsidRPr="165376B1">
        <w:rPr>
          <w:rStyle w:val="normaltextrun"/>
        </w:rPr>
        <w:t>States with legislative authority currently have the option to voluntarily query the Clearinghouse and downgrade CDLs for prohibited drivers</w:t>
      </w:r>
      <w:r w:rsidR="00873A76" w:rsidRPr="165376B1">
        <w:rPr>
          <w:rStyle w:val="normaltextrun"/>
        </w:rPr>
        <w:t>,</w:t>
      </w:r>
      <w:r w:rsidRPr="165376B1">
        <w:rPr>
          <w:rStyle w:val="normaltextrun"/>
        </w:rPr>
        <w:t xml:space="preserve"> and may do so before the November 18, 2024 compliance date. Visit </w:t>
      </w:r>
      <w:hyperlink r:id="rId18">
        <w:r w:rsidRPr="165376B1">
          <w:rPr>
            <w:rStyle w:val="Hyperlink"/>
          </w:rPr>
          <w:t>https://clearinghouse.fmcsa.dot.gov/about</w:t>
        </w:r>
      </w:hyperlink>
      <w:r w:rsidRPr="165376B1">
        <w:rPr>
          <w:rStyle w:val="normaltextrun"/>
        </w:rPr>
        <w:t xml:space="preserve"> to learn more.</w:t>
      </w:r>
    </w:p>
    <w:p w14:paraId="5CBAF51E" w14:textId="331470B0" w:rsidR="00E7257E" w:rsidRDefault="00E7257E" w:rsidP="00E7257E">
      <w:pPr>
        <w:pStyle w:val="paragraph"/>
        <w:spacing w:before="0" w:beforeAutospacing="0" w:after="0" w:afterAutospacing="0"/>
        <w:textAlignment w:val="baseline"/>
        <w:rPr>
          <w:rStyle w:val="normaltextrun"/>
          <w:rFonts w:ascii="Calibri" w:eastAsiaTheme="majorEastAsia" w:hAnsi="Calibri" w:cs="Calibri"/>
          <w:color w:val="000000"/>
          <w:sz w:val="22"/>
          <w:szCs w:val="22"/>
          <w:shd w:val="clear" w:color="auto" w:fill="FFFFFF"/>
        </w:rPr>
      </w:pPr>
    </w:p>
    <w:p w14:paraId="7E0F165C" w14:textId="72C0EE68" w:rsidR="0029568F" w:rsidRDefault="0029568F" w:rsidP="103A663D">
      <w:pPr>
        <w:pStyle w:val="paragraph"/>
        <w:spacing w:before="0" w:beforeAutospacing="0" w:after="0" w:afterAutospacing="0"/>
        <w:textAlignment w:val="baseline"/>
        <w:rPr>
          <w:rStyle w:val="normaltextrun"/>
          <w:rFonts w:ascii="Calibri" w:eastAsiaTheme="majorEastAsia" w:hAnsi="Calibri" w:cs="Calibri"/>
          <w:color w:val="000000"/>
          <w:sz w:val="22"/>
          <w:szCs w:val="22"/>
          <w:shd w:val="clear" w:color="auto" w:fill="FFFFFF"/>
        </w:rPr>
      </w:pPr>
      <w:r w:rsidRPr="103A663D">
        <w:rPr>
          <w:rStyle w:val="normaltextrun"/>
          <w:rFonts w:ascii="Calibri" w:eastAsiaTheme="majorEastAsia" w:hAnsi="Calibri" w:cs="Calibri"/>
          <w:color w:val="000000"/>
          <w:sz w:val="22"/>
          <w:szCs w:val="22"/>
          <w:shd w:val="clear" w:color="auto" w:fill="FFFFFF"/>
        </w:rPr>
        <w:lastRenderedPageBreak/>
        <w:t>--</w:t>
      </w:r>
    </w:p>
    <w:p w14:paraId="13672501" w14:textId="787F9F4E" w:rsidR="103A663D" w:rsidRDefault="103A663D" w:rsidP="103A663D">
      <w:pPr>
        <w:pStyle w:val="paragraph"/>
        <w:spacing w:before="0" w:beforeAutospacing="0" w:after="0" w:afterAutospacing="0"/>
        <w:rPr>
          <w:rStyle w:val="normaltextrun"/>
          <w:rFonts w:ascii="Calibri" w:eastAsiaTheme="majorEastAsia" w:hAnsi="Calibri" w:cs="Calibri"/>
          <w:color w:val="000000" w:themeColor="text1"/>
          <w:sz w:val="22"/>
          <w:szCs w:val="22"/>
        </w:rPr>
      </w:pPr>
    </w:p>
    <w:p w14:paraId="51D7A1B1" w14:textId="73FA3650" w:rsidR="31C50585" w:rsidRPr="005113A4" w:rsidRDefault="00264E90" w:rsidP="005113A4">
      <w:pPr>
        <w:pStyle w:val="NoSpacing"/>
        <w:rPr>
          <w:rStyle w:val="eop"/>
        </w:rPr>
      </w:pPr>
      <w:r w:rsidRPr="31A61EBD">
        <w:rPr>
          <w:rStyle w:val="normaltextrun"/>
          <w:rFonts w:eastAsiaTheme="majorEastAsia"/>
          <w:b/>
          <w:bCs/>
          <w:sz w:val="28"/>
          <w:szCs w:val="28"/>
        </w:rPr>
        <w:t>CDL Downgrades: November 18, 2024</w:t>
      </w:r>
      <w:r>
        <w:br/>
      </w:r>
      <w:r w:rsidR="005113A4" w:rsidRPr="31A61EBD">
        <w:rPr>
          <w:rStyle w:val="normaltextrun"/>
        </w:rPr>
        <w:t>Beginning November 18, 2024, having a “prohibited” status in FMCSA’s</w:t>
      </w:r>
      <w:r w:rsidR="4C09D175" w:rsidRPr="31A61EBD">
        <w:rPr>
          <w:rStyle w:val="normaltextrun"/>
        </w:rPr>
        <w:t xml:space="preserve"> </w:t>
      </w:r>
      <w:hyperlink r:id="rId19" w:history="1">
        <w:r w:rsidR="4C09D175" w:rsidRPr="31A61EBD">
          <w:rPr>
            <w:rStyle w:val="Hyperlink"/>
          </w:rPr>
          <w:t>Drug and Alcohol Clearinghouse</w:t>
        </w:r>
      </w:hyperlink>
      <w:r w:rsidR="4C09D175" w:rsidRPr="31A61EBD">
        <w:rPr>
          <w:rStyle w:val="normaltextrun"/>
        </w:rPr>
        <w:t xml:space="preserve"> </w:t>
      </w:r>
      <w:r w:rsidR="005113A4" w:rsidRPr="31A61EBD">
        <w:rPr>
          <w:rStyle w:val="normaltextrun"/>
        </w:rPr>
        <w:t xml:space="preserve"> </w:t>
      </w:r>
      <w:hyperlink r:id="rId20"/>
      <w:r w:rsidR="005113A4" w:rsidRPr="31A61EBD" w:rsidDel="005113A4">
        <w:rPr>
          <w:rStyle w:val="normaltextrun"/>
        </w:rPr>
        <w:t>due to a drug and alcohol program violation will result in losing or being denied a commercial driver’s license</w:t>
      </w:r>
      <w:r w:rsidR="2BC7450D" w:rsidRPr="31A61EBD">
        <w:rPr>
          <w:rStyle w:val="normaltextrun"/>
        </w:rPr>
        <w:t xml:space="preserve"> (CDL)</w:t>
      </w:r>
      <w:r w:rsidR="005113A4" w:rsidRPr="31A61EBD">
        <w:rPr>
          <w:rStyle w:val="normaltextrun"/>
        </w:rPr>
        <w:t xml:space="preserve"> or commercial learner’s permit</w:t>
      </w:r>
      <w:r w:rsidR="704DB44F" w:rsidRPr="31A61EBD">
        <w:rPr>
          <w:rStyle w:val="normaltextrun"/>
        </w:rPr>
        <w:t xml:space="preserve"> (CLP)</w:t>
      </w:r>
      <w:r w:rsidR="005113A4" w:rsidRPr="31A61EBD">
        <w:rPr>
          <w:rStyle w:val="normaltextrun"/>
        </w:rPr>
        <w:t xml:space="preserve">. </w:t>
      </w:r>
      <w:r w:rsidRPr="165376B1">
        <w:rPr>
          <w:rStyle w:val="normaltextrun"/>
          <w:rFonts w:eastAsiaTheme="majorEastAsia"/>
        </w:rPr>
        <w:t xml:space="preserve">The </w:t>
      </w:r>
      <w:r w:rsidR="79806781" w:rsidRPr="31A61EBD">
        <w:rPr>
          <w:rStyle w:val="normaltextrun"/>
          <w:rFonts w:eastAsiaTheme="majorEastAsia"/>
        </w:rPr>
        <w:t xml:space="preserve">U.S. </w:t>
      </w:r>
      <w:r w:rsidRPr="31A61EBD">
        <w:rPr>
          <w:rStyle w:val="normaltextrun"/>
          <w:rFonts w:eastAsiaTheme="majorEastAsia"/>
        </w:rPr>
        <w:t xml:space="preserve">DOT has established a process for being able to </w:t>
      </w:r>
      <w:r>
        <w:t xml:space="preserve"> </w:t>
      </w:r>
      <w:hyperlink r:id="rId21" w:history="1">
        <w:r w:rsidRPr="003618A2">
          <w:rPr>
            <w:rStyle w:val="Hyperlink"/>
            <w:rFonts w:eastAsiaTheme="majorEastAsia"/>
          </w:rPr>
          <w:t>return to commercial driving duties</w:t>
        </w:r>
      </w:hyperlink>
      <w:r w:rsidR="003618A2">
        <w:rPr>
          <w:rStyle w:val="Hyperlink"/>
          <w:rFonts w:eastAsiaTheme="majorEastAsia"/>
        </w:rPr>
        <w:t xml:space="preserve"> </w:t>
      </w:r>
      <w:r w:rsidRPr="165376B1">
        <w:rPr>
          <w:rStyle w:val="normaltextrun"/>
          <w:rFonts w:eastAsiaTheme="majorEastAsia"/>
        </w:rPr>
        <w:t>after incurring a drug and alcohol program violation.</w:t>
      </w:r>
      <w:r w:rsidR="16DC7B99" w:rsidRPr="31A61EBD">
        <w:rPr>
          <w:rStyle w:val="normaltextrun"/>
          <w:rFonts w:eastAsiaTheme="majorEastAsia"/>
        </w:rPr>
        <w:t xml:space="preserve"> </w:t>
      </w:r>
      <w:r w:rsidRPr="31A61EBD">
        <w:rPr>
          <w:rStyle w:val="normaltextrun"/>
          <w:rFonts w:eastAsiaTheme="majorEastAsia"/>
        </w:rPr>
        <w:t xml:space="preserve">FMCSA </w:t>
      </w:r>
      <w:r w:rsidRPr="165376B1">
        <w:rPr>
          <w:rStyle w:val="normaltextrun"/>
          <w:rFonts w:asciiTheme="minorHAnsi" w:eastAsiaTheme="majorEastAsia" w:hAnsiTheme="minorHAnsi" w:cstheme="minorBidi"/>
        </w:rPr>
        <w:t xml:space="preserve">has created a resource that outlines the steps drivers must take to complete their return-to-duty process: </w:t>
      </w:r>
      <w:r w:rsidRPr="165376B1">
        <w:rPr>
          <w:rStyle w:val="normaltextrun"/>
          <w:rFonts w:asciiTheme="minorHAnsi" w:hAnsiTheme="minorHAnsi" w:cstheme="minorBidi"/>
        </w:rPr>
        <w:t xml:space="preserve">download the </w:t>
      </w:r>
      <w:hyperlink r:id="rId22" w:history="1">
        <w:r w:rsidRPr="003618A2">
          <w:rPr>
            <w:rStyle w:val="Hyperlink"/>
          </w:rPr>
          <w:t>Return-to-Duty Quick Reference Guide</w:t>
        </w:r>
      </w:hyperlink>
      <w:r w:rsidRPr="31A61EBD">
        <w:rPr>
          <w:rStyle w:val="normaltextrun"/>
          <w:rFonts w:asciiTheme="minorHAnsi" w:hAnsiTheme="minorHAnsi" w:cstheme="minorBidi"/>
        </w:rPr>
        <w:t xml:space="preserve">. For more information, visit the </w:t>
      </w:r>
      <w:hyperlink r:id="rId23">
        <w:r w:rsidRPr="31A61EBD">
          <w:rPr>
            <w:rStyle w:val="Hyperlink"/>
            <w:rFonts w:asciiTheme="minorHAnsi" w:hAnsiTheme="minorHAnsi" w:cstheme="minorBidi"/>
          </w:rPr>
          <w:t>Clearinghouse Learning Center</w:t>
        </w:r>
      </w:hyperlink>
      <w:r w:rsidRPr="31A61EBD">
        <w:rPr>
          <w:rStyle w:val="normaltextrun"/>
          <w:rFonts w:asciiTheme="minorHAnsi" w:hAnsiTheme="minorHAnsi" w:cstheme="minorBidi"/>
        </w:rPr>
        <w:t>.</w:t>
      </w:r>
    </w:p>
    <w:sectPr w:rsidR="31C50585" w:rsidRPr="005113A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D4F8" w14:textId="77777777" w:rsidR="002F6A77" w:rsidRDefault="002F6A77" w:rsidP="006551DF">
      <w:pPr>
        <w:spacing w:before="0" w:after="0"/>
      </w:pPr>
      <w:r>
        <w:separator/>
      </w:r>
    </w:p>
  </w:endnote>
  <w:endnote w:type="continuationSeparator" w:id="0">
    <w:p w14:paraId="3B0C16A0" w14:textId="77777777" w:rsidR="002F6A77" w:rsidRDefault="002F6A77" w:rsidP="006551DF">
      <w:pPr>
        <w:spacing w:before="0" w:after="0"/>
      </w:pPr>
      <w:r>
        <w:continuationSeparator/>
      </w:r>
    </w:p>
  </w:endnote>
  <w:endnote w:type="continuationNotice" w:id="1">
    <w:p w14:paraId="202CF316" w14:textId="77777777" w:rsidR="002F6A77" w:rsidRDefault="002F6A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368C" w14:textId="77777777" w:rsidR="002F6A77" w:rsidRDefault="002F6A77" w:rsidP="006551DF">
      <w:pPr>
        <w:spacing w:before="0" w:after="0"/>
      </w:pPr>
      <w:r>
        <w:separator/>
      </w:r>
    </w:p>
  </w:footnote>
  <w:footnote w:type="continuationSeparator" w:id="0">
    <w:p w14:paraId="7295AD38" w14:textId="77777777" w:rsidR="002F6A77" w:rsidRDefault="002F6A77" w:rsidP="006551DF">
      <w:pPr>
        <w:spacing w:before="0" w:after="0"/>
      </w:pPr>
      <w:r>
        <w:continuationSeparator/>
      </w:r>
    </w:p>
  </w:footnote>
  <w:footnote w:type="continuationNotice" w:id="1">
    <w:p w14:paraId="26372110" w14:textId="77777777" w:rsidR="002F6A77" w:rsidRDefault="002F6A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387E" w14:textId="220D5F7C" w:rsidR="006551DF" w:rsidRDefault="006551DF">
    <w:pPr>
      <w:pStyle w:val="Header"/>
    </w:pPr>
    <w:r>
      <w:rPr>
        <w:noProof/>
      </w:rPr>
      <w:drawing>
        <wp:anchor distT="0" distB="0" distL="114300" distR="114300" simplePos="0" relativeHeight="251658240" behindDoc="0" locked="0" layoutInCell="1" allowOverlap="1" wp14:anchorId="7614ED16" wp14:editId="6C07216E">
          <wp:simplePos x="0" y="0"/>
          <wp:positionH relativeFrom="column">
            <wp:posOffset>-914400</wp:posOffset>
          </wp:positionH>
          <wp:positionV relativeFrom="paragraph">
            <wp:posOffset>-457200</wp:posOffset>
          </wp:positionV>
          <wp:extent cx="7815580" cy="815340"/>
          <wp:effectExtent l="0" t="0" r="0" b="3810"/>
          <wp:wrapNone/>
          <wp:docPr id="2" name="Picture 2" descr="hea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5580" cy="815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A08"/>
    <w:multiLevelType w:val="multilevel"/>
    <w:tmpl w:val="29AA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A488D"/>
    <w:multiLevelType w:val="hybridMultilevel"/>
    <w:tmpl w:val="1F1A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29F3"/>
    <w:multiLevelType w:val="hybridMultilevel"/>
    <w:tmpl w:val="87F6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D0380"/>
    <w:multiLevelType w:val="hybridMultilevel"/>
    <w:tmpl w:val="CBE4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1179E"/>
    <w:multiLevelType w:val="multilevel"/>
    <w:tmpl w:val="6EF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7950165">
    <w:abstractNumId w:val="4"/>
  </w:num>
  <w:num w:numId="2" w16cid:durableId="710613932">
    <w:abstractNumId w:val="0"/>
  </w:num>
  <w:num w:numId="3" w16cid:durableId="1765563925">
    <w:abstractNumId w:val="1"/>
  </w:num>
  <w:num w:numId="4" w16cid:durableId="2022587395">
    <w:abstractNumId w:val="3"/>
  </w:num>
  <w:num w:numId="5" w16cid:durableId="1498573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8E"/>
    <w:rsid w:val="0000621C"/>
    <w:rsid w:val="00033623"/>
    <w:rsid w:val="00053321"/>
    <w:rsid w:val="000F6AB1"/>
    <w:rsid w:val="00115ECF"/>
    <w:rsid w:val="0012665F"/>
    <w:rsid w:val="0017725C"/>
    <w:rsid w:val="001929D7"/>
    <w:rsid w:val="00264E90"/>
    <w:rsid w:val="00264FB7"/>
    <w:rsid w:val="0029568F"/>
    <w:rsid w:val="002E02C8"/>
    <w:rsid w:val="002F6A77"/>
    <w:rsid w:val="003006F7"/>
    <w:rsid w:val="003618A2"/>
    <w:rsid w:val="00365FB8"/>
    <w:rsid w:val="003757F9"/>
    <w:rsid w:val="0037630F"/>
    <w:rsid w:val="0038503A"/>
    <w:rsid w:val="00396E61"/>
    <w:rsid w:val="003D2F5F"/>
    <w:rsid w:val="004C4C23"/>
    <w:rsid w:val="005113A4"/>
    <w:rsid w:val="00530C8E"/>
    <w:rsid w:val="005E7802"/>
    <w:rsid w:val="00620D37"/>
    <w:rsid w:val="0064034A"/>
    <w:rsid w:val="00641175"/>
    <w:rsid w:val="006551DF"/>
    <w:rsid w:val="006F5AC7"/>
    <w:rsid w:val="007303A9"/>
    <w:rsid w:val="007A16DC"/>
    <w:rsid w:val="007A4A33"/>
    <w:rsid w:val="007B12DE"/>
    <w:rsid w:val="00853664"/>
    <w:rsid w:val="00861369"/>
    <w:rsid w:val="00873A76"/>
    <w:rsid w:val="00912D67"/>
    <w:rsid w:val="00914AAB"/>
    <w:rsid w:val="00991A23"/>
    <w:rsid w:val="009B67EB"/>
    <w:rsid w:val="00A42351"/>
    <w:rsid w:val="00A44E60"/>
    <w:rsid w:val="00A92B02"/>
    <w:rsid w:val="00AC7510"/>
    <w:rsid w:val="00AF4E15"/>
    <w:rsid w:val="00B875FF"/>
    <w:rsid w:val="00BA4B65"/>
    <w:rsid w:val="00BC7696"/>
    <w:rsid w:val="00C86B41"/>
    <w:rsid w:val="00C93403"/>
    <w:rsid w:val="00C96128"/>
    <w:rsid w:val="00D27C34"/>
    <w:rsid w:val="00E26713"/>
    <w:rsid w:val="00E7257E"/>
    <w:rsid w:val="00F460C9"/>
    <w:rsid w:val="00FB1A06"/>
    <w:rsid w:val="00FD235E"/>
    <w:rsid w:val="00FD2F83"/>
    <w:rsid w:val="065CD36C"/>
    <w:rsid w:val="0826F77D"/>
    <w:rsid w:val="0B24E50A"/>
    <w:rsid w:val="0D7C41BA"/>
    <w:rsid w:val="103A663D"/>
    <w:rsid w:val="13E20221"/>
    <w:rsid w:val="154625EE"/>
    <w:rsid w:val="165376B1"/>
    <w:rsid w:val="16DC7B99"/>
    <w:rsid w:val="189912A6"/>
    <w:rsid w:val="289BD800"/>
    <w:rsid w:val="2BC7450D"/>
    <w:rsid w:val="2C1DFE5C"/>
    <w:rsid w:val="2DA6F5B7"/>
    <w:rsid w:val="30DE9679"/>
    <w:rsid w:val="31A61EBD"/>
    <w:rsid w:val="31C50585"/>
    <w:rsid w:val="37DFC79A"/>
    <w:rsid w:val="3ADB8250"/>
    <w:rsid w:val="3E31F904"/>
    <w:rsid w:val="3FFBD7E4"/>
    <w:rsid w:val="4506F59B"/>
    <w:rsid w:val="498991CD"/>
    <w:rsid w:val="49B76C6D"/>
    <w:rsid w:val="4A6E0114"/>
    <w:rsid w:val="4C09D175"/>
    <w:rsid w:val="4C512BC4"/>
    <w:rsid w:val="4CF0B52F"/>
    <w:rsid w:val="4F5DD2D5"/>
    <w:rsid w:val="504148F7"/>
    <w:rsid w:val="53701B02"/>
    <w:rsid w:val="5BE9218E"/>
    <w:rsid w:val="65DC1F7E"/>
    <w:rsid w:val="676DCDAD"/>
    <w:rsid w:val="67D20A5D"/>
    <w:rsid w:val="6DB71205"/>
    <w:rsid w:val="6E33B036"/>
    <w:rsid w:val="6FCF8097"/>
    <w:rsid w:val="704DB44F"/>
    <w:rsid w:val="710A32B7"/>
    <w:rsid w:val="72BAE67C"/>
    <w:rsid w:val="72E4A113"/>
    <w:rsid w:val="731981D9"/>
    <w:rsid w:val="79806781"/>
    <w:rsid w:val="7C82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6D4"/>
  <w15:chartTrackingRefBased/>
  <w15:docId w15:val="{352AF315-21F2-492C-A43F-795C1D4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8E"/>
    <w:pPr>
      <w:spacing w:before="120" w:after="200" w:line="240" w:lineRule="auto"/>
    </w:pPr>
    <w:rPr>
      <w:rFonts w:asciiTheme="majorHAnsi" w:hAnsiTheme="majorHAnsi"/>
      <w:sz w:val="24"/>
      <w:szCs w:val="24"/>
    </w:rPr>
  </w:style>
  <w:style w:type="paragraph" w:styleId="Heading1">
    <w:name w:val="heading 1"/>
    <w:basedOn w:val="Normal"/>
    <w:next w:val="Normal"/>
    <w:link w:val="Heading1Char"/>
    <w:uiPriority w:val="9"/>
    <w:qFormat/>
    <w:rsid w:val="001929D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1D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551DF"/>
    <w:pPr>
      <w:spacing w:before="0" w:after="0"/>
      <w:contextualSpacing/>
      <w:textAlignment w:val="baseline"/>
    </w:pPr>
    <w:rPr>
      <w:rFonts w:ascii="Calibri" w:hAnsi="Calibri" w:cs="Calibri"/>
      <w:color w:val="000000"/>
      <w:sz w:val="22"/>
      <w:szCs w:val="22"/>
      <w:shd w:val="clear" w:color="auto" w:fill="FFFFFF"/>
    </w:rPr>
  </w:style>
  <w:style w:type="paragraph" w:styleId="NormalWeb">
    <w:name w:val="Normal (Web)"/>
    <w:basedOn w:val="Normal"/>
    <w:uiPriority w:val="99"/>
    <w:unhideWhenUsed/>
    <w:rsid w:val="007A16DC"/>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00621C"/>
  </w:style>
  <w:style w:type="character" w:customStyle="1" w:styleId="eop">
    <w:name w:val="eop"/>
    <w:basedOn w:val="DefaultParagraphFont"/>
    <w:rsid w:val="0000621C"/>
  </w:style>
  <w:style w:type="paragraph" w:customStyle="1" w:styleId="paragraph">
    <w:name w:val="paragraph"/>
    <w:basedOn w:val="Normal"/>
    <w:rsid w:val="005E78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C7696"/>
    <w:pPr>
      <w:ind w:left="720"/>
      <w:contextualSpacing/>
    </w:pPr>
  </w:style>
  <w:style w:type="character" w:customStyle="1" w:styleId="scxw190998497">
    <w:name w:val="scxw190998497"/>
    <w:basedOn w:val="DefaultParagraphFont"/>
    <w:rsid w:val="001929D7"/>
  </w:style>
  <w:style w:type="character" w:styleId="Hyperlink">
    <w:name w:val="Hyperlink"/>
    <w:basedOn w:val="DefaultParagraphFont"/>
    <w:uiPriority w:val="99"/>
    <w:unhideWhenUsed/>
    <w:rsid w:val="001929D7"/>
    <w:rPr>
      <w:color w:val="0563C1" w:themeColor="hyperlink"/>
      <w:u w:val="single"/>
    </w:rPr>
  </w:style>
  <w:style w:type="character" w:styleId="UnresolvedMention">
    <w:name w:val="Unresolved Mention"/>
    <w:basedOn w:val="DefaultParagraphFont"/>
    <w:uiPriority w:val="99"/>
    <w:semiHidden/>
    <w:unhideWhenUsed/>
    <w:rsid w:val="001929D7"/>
    <w:rPr>
      <w:color w:val="605E5C"/>
      <w:shd w:val="clear" w:color="auto" w:fill="E1DFDD"/>
    </w:rPr>
  </w:style>
  <w:style w:type="paragraph" w:styleId="Title">
    <w:name w:val="Title"/>
    <w:basedOn w:val="Normal"/>
    <w:next w:val="Normal"/>
    <w:link w:val="TitleChar"/>
    <w:uiPriority w:val="10"/>
    <w:qFormat/>
    <w:rsid w:val="001929D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929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29D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1DF"/>
    <w:pPr>
      <w:tabs>
        <w:tab w:val="center" w:pos="4680"/>
        <w:tab w:val="right" w:pos="9360"/>
      </w:tabs>
      <w:spacing w:before="0" w:after="0"/>
    </w:pPr>
  </w:style>
  <w:style w:type="character" w:customStyle="1" w:styleId="HeaderChar">
    <w:name w:val="Header Char"/>
    <w:basedOn w:val="DefaultParagraphFont"/>
    <w:link w:val="Header"/>
    <w:uiPriority w:val="99"/>
    <w:rsid w:val="006551DF"/>
    <w:rPr>
      <w:rFonts w:asciiTheme="majorHAnsi" w:hAnsiTheme="majorHAnsi"/>
      <w:sz w:val="24"/>
      <w:szCs w:val="24"/>
    </w:rPr>
  </w:style>
  <w:style w:type="paragraph" w:styleId="Footer">
    <w:name w:val="footer"/>
    <w:basedOn w:val="Normal"/>
    <w:link w:val="FooterChar"/>
    <w:uiPriority w:val="99"/>
    <w:unhideWhenUsed/>
    <w:rsid w:val="006551DF"/>
    <w:pPr>
      <w:tabs>
        <w:tab w:val="center" w:pos="4680"/>
        <w:tab w:val="right" w:pos="9360"/>
      </w:tabs>
      <w:spacing w:before="0" w:after="0"/>
    </w:pPr>
  </w:style>
  <w:style w:type="character" w:customStyle="1" w:styleId="FooterChar">
    <w:name w:val="Footer Char"/>
    <w:basedOn w:val="DefaultParagraphFont"/>
    <w:link w:val="Footer"/>
    <w:uiPriority w:val="99"/>
    <w:rsid w:val="006551DF"/>
    <w:rPr>
      <w:rFonts w:asciiTheme="majorHAnsi" w:hAnsiTheme="majorHAnsi"/>
      <w:sz w:val="24"/>
      <w:szCs w:val="24"/>
    </w:rPr>
  </w:style>
  <w:style w:type="character" w:customStyle="1" w:styleId="Heading2Char">
    <w:name w:val="Heading 2 Char"/>
    <w:basedOn w:val="DefaultParagraphFont"/>
    <w:link w:val="Heading2"/>
    <w:uiPriority w:val="9"/>
    <w:rsid w:val="006551D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875FF"/>
    <w:pPr>
      <w:spacing w:after="0" w:line="240" w:lineRule="auto"/>
    </w:pPr>
    <w:rPr>
      <w:rFonts w:asciiTheme="majorHAnsi" w:hAnsiTheme="majorHAns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D2F8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665F"/>
    <w:rPr>
      <w:b/>
      <w:bCs/>
    </w:rPr>
  </w:style>
  <w:style w:type="character" w:customStyle="1" w:styleId="CommentSubjectChar">
    <w:name w:val="Comment Subject Char"/>
    <w:basedOn w:val="CommentTextChar"/>
    <w:link w:val="CommentSubject"/>
    <w:uiPriority w:val="99"/>
    <w:semiHidden/>
    <w:rsid w:val="0012665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8736">
      <w:bodyDiv w:val="1"/>
      <w:marLeft w:val="0"/>
      <w:marRight w:val="0"/>
      <w:marTop w:val="0"/>
      <w:marBottom w:val="0"/>
      <w:divBdr>
        <w:top w:val="none" w:sz="0" w:space="0" w:color="auto"/>
        <w:left w:val="none" w:sz="0" w:space="0" w:color="auto"/>
        <w:bottom w:val="none" w:sz="0" w:space="0" w:color="auto"/>
        <w:right w:val="none" w:sz="0" w:space="0" w:color="auto"/>
      </w:divBdr>
      <w:divsChild>
        <w:div w:id="1177964703">
          <w:marLeft w:val="0"/>
          <w:marRight w:val="0"/>
          <w:marTop w:val="0"/>
          <w:marBottom w:val="0"/>
          <w:divBdr>
            <w:top w:val="none" w:sz="0" w:space="0" w:color="auto"/>
            <w:left w:val="none" w:sz="0" w:space="0" w:color="auto"/>
            <w:bottom w:val="none" w:sz="0" w:space="0" w:color="auto"/>
            <w:right w:val="none" w:sz="0" w:space="0" w:color="auto"/>
          </w:divBdr>
          <w:divsChild>
            <w:div w:id="1478917528">
              <w:marLeft w:val="0"/>
              <w:marRight w:val="0"/>
              <w:marTop w:val="0"/>
              <w:marBottom w:val="0"/>
              <w:divBdr>
                <w:top w:val="none" w:sz="0" w:space="0" w:color="auto"/>
                <w:left w:val="none" w:sz="0" w:space="0" w:color="auto"/>
                <w:bottom w:val="none" w:sz="0" w:space="0" w:color="auto"/>
                <w:right w:val="none" w:sz="0" w:space="0" w:color="auto"/>
              </w:divBdr>
            </w:div>
            <w:div w:id="1518613653">
              <w:marLeft w:val="0"/>
              <w:marRight w:val="0"/>
              <w:marTop w:val="0"/>
              <w:marBottom w:val="0"/>
              <w:divBdr>
                <w:top w:val="none" w:sz="0" w:space="0" w:color="auto"/>
                <w:left w:val="none" w:sz="0" w:space="0" w:color="auto"/>
                <w:bottom w:val="none" w:sz="0" w:space="0" w:color="auto"/>
                <w:right w:val="none" w:sz="0" w:space="0" w:color="auto"/>
              </w:divBdr>
            </w:div>
          </w:divsChild>
        </w:div>
        <w:div w:id="1406874789">
          <w:marLeft w:val="0"/>
          <w:marRight w:val="0"/>
          <w:marTop w:val="0"/>
          <w:marBottom w:val="0"/>
          <w:divBdr>
            <w:top w:val="none" w:sz="0" w:space="0" w:color="auto"/>
            <w:left w:val="none" w:sz="0" w:space="0" w:color="auto"/>
            <w:bottom w:val="none" w:sz="0" w:space="0" w:color="auto"/>
            <w:right w:val="none" w:sz="0" w:space="0" w:color="auto"/>
          </w:divBdr>
          <w:divsChild>
            <w:div w:id="137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earinghouse.fmcsa.dot.gov/content/resources/RTD-Driver-Insert-508.pdf" TargetMode="External"/><Relationship Id="rId18" Type="http://schemas.openxmlformats.org/officeDocument/2006/relationships/hyperlink" Target="https://clearinghouse.fmcsa.dot.gov/abou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learinghouse.fmcsa.dot.gov/Resource/Index/RTD-Infographic" TargetMode="External"/><Relationship Id="rId7" Type="http://schemas.openxmlformats.org/officeDocument/2006/relationships/webSettings" Target="webSettings.xml"/><Relationship Id="rId12" Type="http://schemas.openxmlformats.org/officeDocument/2006/relationships/hyperlink" Target="https://clearinghouse.fmcsa.dot.gov/Resource/Index/RTD-Infographic" TargetMode="External"/><Relationship Id="rId17" Type="http://schemas.openxmlformats.org/officeDocument/2006/relationships/hyperlink" Target="https://clearinghouse.fmcsa.dot.gov/abou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earinghouse.fmcsa.dot.gov/about" TargetMode="External"/><Relationship Id="rId20" Type="http://schemas.openxmlformats.org/officeDocument/2006/relationships/hyperlink" Target="https://clearinghouse.fmcsa.dot.gov/Resource/Index/RTD-Infograph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ringhouse.fmcsa.dot.go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learinghouse.fmcsa.dot.gov/FAQ/Topics/CDL-Downgrades" TargetMode="External"/><Relationship Id="rId23" Type="http://schemas.openxmlformats.org/officeDocument/2006/relationships/hyperlink" Target="https://clearinghouse.fmcsa.dot.gov/Learn" TargetMode="External"/><Relationship Id="rId10" Type="http://schemas.openxmlformats.org/officeDocument/2006/relationships/hyperlink" Target="https://clearinghouse.fmcsa.dot.gov/resource/page/sdla-resources" TargetMode="External"/><Relationship Id="rId19" Type="http://schemas.openxmlformats.org/officeDocument/2006/relationships/hyperlink" Target="https://clearinghouse.fmcsa.do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earinghouse.fmcsa.dot.gov/Learn" TargetMode="External"/><Relationship Id="rId22" Type="http://schemas.openxmlformats.org/officeDocument/2006/relationships/hyperlink" Target="https://clearinghouse.fmcsa.dot.gov/content/resources/RTD-Driver-Insert-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938522-337a-4aff-aaca-9aa7f61f1a2e">
      <Terms xmlns="http://schemas.microsoft.com/office/infopath/2007/PartnerControls"/>
    </lcf76f155ced4ddcb4097134ff3c332f>
    <TaxCatchAll xmlns="58f509ee-0e07-4739-86e5-4c23e80f22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7D927560F17498DD3A3FB7893CA54" ma:contentTypeVersion="15" ma:contentTypeDescription="Create a new document." ma:contentTypeScope="" ma:versionID="bd613e19c02db41b958cbc47b8e96355">
  <xsd:schema xmlns:xsd="http://www.w3.org/2001/XMLSchema" xmlns:xs="http://www.w3.org/2001/XMLSchema" xmlns:p="http://schemas.microsoft.com/office/2006/metadata/properties" xmlns:ns2="fb938522-337a-4aff-aaca-9aa7f61f1a2e" xmlns:ns3="58f509ee-0e07-4739-86e5-4c23e80f2294" targetNamespace="http://schemas.microsoft.com/office/2006/metadata/properties" ma:root="true" ma:fieldsID="d5de39e7833bfd8f7d7e14e6bdfd7902" ns2:_="" ns3:_="">
    <xsd:import namespace="fb938522-337a-4aff-aaca-9aa7f61f1a2e"/>
    <xsd:import namespace="58f509ee-0e07-4739-86e5-4c23e80f2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38522-337a-4aff-aaca-9aa7f61f1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509ee-0e07-4739-86e5-4c23e80f22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ff641a7-791b-4bc0-a1bb-74a48bba16fd}" ma:internalName="TaxCatchAll" ma:showField="CatchAllData" ma:web="58f509ee-0e07-4739-86e5-4c23e80f2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FBB5E-6B57-4EF2-8BC6-0A08501CDF60}">
  <ds:schemaRefs>
    <ds:schemaRef ds:uri="http://schemas.microsoft.com/sharepoint/v3/contenttype/forms"/>
  </ds:schemaRefs>
</ds:datastoreItem>
</file>

<file path=customXml/itemProps2.xml><?xml version="1.0" encoding="utf-8"?>
<ds:datastoreItem xmlns:ds="http://schemas.openxmlformats.org/officeDocument/2006/customXml" ds:itemID="{E7D83772-2B68-48AE-8483-BE991DC448C1}">
  <ds:schemaRefs>
    <ds:schemaRef ds:uri="http://schemas.microsoft.com/office/2006/metadata/properties"/>
    <ds:schemaRef ds:uri="http://schemas.microsoft.com/office/infopath/2007/PartnerControls"/>
    <ds:schemaRef ds:uri="fb938522-337a-4aff-aaca-9aa7f61f1a2e"/>
    <ds:schemaRef ds:uri="58f509ee-0e07-4739-86e5-4c23e80f2294"/>
  </ds:schemaRefs>
</ds:datastoreItem>
</file>

<file path=customXml/itemProps3.xml><?xml version="1.0" encoding="utf-8"?>
<ds:datastoreItem xmlns:ds="http://schemas.openxmlformats.org/officeDocument/2006/customXml" ds:itemID="{A9B84476-BA93-4261-AC88-3147A3948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38522-337a-4aff-aaca-9aa7f61f1a2e"/>
    <ds:schemaRef ds:uri="58f509ee-0e07-4739-86e5-4c23e80f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Elizabeth (Volpe)</dc:creator>
  <cp:keywords/>
  <dc:description/>
  <cp:lastModifiedBy>Luu, Kathryn (Volpe)</cp:lastModifiedBy>
  <cp:revision>3</cp:revision>
  <dcterms:created xsi:type="dcterms:W3CDTF">2024-01-22T21:26:00Z</dcterms:created>
  <dcterms:modified xsi:type="dcterms:W3CDTF">2024-01-22T21:39:00Z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0x0101003447D927560F17498DD3A3FB7893CA54</vt:lpwstr>
  </property>
  <property fmtid="{D5CDD505-2E9C-101B-9397-08002B2CF9AE}" pid="3" name="MediaServiceImageTags">
    <vt:lpwstr/>
  </property>
</Properties>
</file>