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5F71" w14:textId="51E93DB9" w:rsidR="006551DF" w:rsidRPr="006551DF" w:rsidRDefault="006551DF" w:rsidP="006551DF">
      <w:pPr>
        <w:pStyle w:val="Heading2"/>
        <w:shd w:val="clear" w:color="auto" w:fill="FFFFFF"/>
        <w:spacing w:before="120" w:after="60" w:line="375" w:lineRule="atLeast"/>
        <w:rPr>
          <w:rFonts w:ascii="Helvetica" w:hAnsi="Helvetica"/>
          <w:b/>
          <w:bCs/>
          <w:color w:val="1F78C0"/>
          <w:sz w:val="40"/>
          <w:szCs w:val="40"/>
        </w:rPr>
      </w:pPr>
      <w:r w:rsidRPr="006551DF">
        <w:rPr>
          <w:rFonts w:ascii="Helvetica" w:hAnsi="Helvetica"/>
          <w:b/>
          <w:bCs/>
          <w:color w:val="1F78C0"/>
          <w:sz w:val="40"/>
          <w:szCs w:val="40"/>
        </w:rPr>
        <w:t>Outreach Materials for FMCSA Partners</w:t>
      </w:r>
    </w:p>
    <w:p w14:paraId="7BF1C4A9" w14:textId="77777777" w:rsidR="006551DF" w:rsidRPr="006551DF" w:rsidRDefault="006551DF" w:rsidP="006551DF">
      <w:pPr>
        <w:pStyle w:val="NoSpacing"/>
      </w:pPr>
    </w:p>
    <w:p w14:paraId="59C2A4D6" w14:textId="30DA3D0F" w:rsidR="006551DF" w:rsidRPr="006551DF" w:rsidRDefault="006551DF" w:rsidP="006551DF">
      <w:pPr>
        <w:pStyle w:val="Heading2"/>
        <w:shd w:val="clear" w:color="auto" w:fill="DEEAF6" w:themeFill="accent5" w:themeFillTint="33"/>
        <w:spacing w:before="0" w:after="60" w:line="375" w:lineRule="atLeast"/>
        <w:rPr>
          <w:rFonts w:ascii="Helvetica" w:hAnsi="Helvetica"/>
          <w:b/>
          <w:bCs/>
          <w:color w:val="002060"/>
          <w:sz w:val="27"/>
          <w:szCs w:val="27"/>
        </w:rPr>
      </w:pPr>
      <w:r w:rsidRPr="006551DF">
        <w:rPr>
          <w:rFonts w:ascii="Helvetica" w:hAnsi="Helvetica"/>
          <w:b/>
          <w:bCs/>
          <w:color w:val="002060"/>
          <w:sz w:val="27"/>
          <w:szCs w:val="27"/>
        </w:rPr>
        <w:t>Sample Article</w:t>
      </w:r>
      <w:r w:rsidR="00FD235E">
        <w:rPr>
          <w:rFonts w:ascii="Helvetica" w:hAnsi="Helvetica"/>
          <w:b/>
          <w:bCs/>
          <w:color w:val="002060"/>
          <w:sz w:val="27"/>
          <w:szCs w:val="27"/>
        </w:rPr>
        <w:t xml:space="preserve"> for Newsletters</w:t>
      </w:r>
    </w:p>
    <w:p w14:paraId="1121E67B" w14:textId="3F1AC794" w:rsidR="00365FB8" w:rsidRPr="006551DF" w:rsidRDefault="007A16DC" w:rsidP="00365FB8">
      <w:pPr>
        <w:spacing w:after="0"/>
        <w:rPr>
          <w:rFonts w:asciiTheme="minorHAnsi" w:hAnsiTheme="minorHAnsi" w:cstheme="minorHAnsi"/>
          <w:b/>
          <w:bCs/>
          <w:sz w:val="28"/>
          <w:szCs w:val="28"/>
        </w:rPr>
      </w:pPr>
      <w:r w:rsidRPr="006551DF">
        <w:rPr>
          <w:rFonts w:asciiTheme="minorHAnsi" w:hAnsiTheme="minorHAnsi" w:cstheme="minorHAnsi"/>
          <w:b/>
          <w:bCs/>
          <w:sz w:val="28"/>
          <w:szCs w:val="28"/>
        </w:rPr>
        <w:t xml:space="preserve">Stand Against Impaired Driving: Query the Drug and Alcohol Clearinghouse </w:t>
      </w:r>
    </w:p>
    <w:p w14:paraId="5C93B7F3" w14:textId="0F51DBAF" w:rsidR="00365FB8" w:rsidRPr="00E5027F" w:rsidRDefault="007A16DC" w:rsidP="00365FB8">
      <w:pPr>
        <w:spacing w:before="0"/>
        <w:rPr>
          <w:i/>
          <w:iCs/>
        </w:rPr>
      </w:pPr>
      <w:r>
        <w:rPr>
          <w:i/>
          <w:iCs/>
        </w:rPr>
        <w:t>Employers of CDL drivers are required to query the Clearinghouse to verify</w:t>
      </w:r>
      <w:r w:rsidR="007A4A33">
        <w:rPr>
          <w:i/>
          <w:iCs/>
        </w:rPr>
        <w:t xml:space="preserve"> that</w:t>
      </w:r>
      <w:r>
        <w:rPr>
          <w:i/>
          <w:iCs/>
        </w:rPr>
        <w:t xml:space="preserve"> their </w:t>
      </w:r>
      <w:r w:rsidR="00FB1A06">
        <w:rPr>
          <w:i/>
          <w:iCs/>
        </w:rPr>
        <w:t xml:space="preserve">current or prospective </w:t>
      </w:r>
      <w:r>
        <w:rPr>
          <w:i/>
          <w:iCs/>
        </w:rPr>
        <w:t xml:space="preserve">employees are not prohibited from operating </w:t>
      </w:r>
      <w:r w:rsidR="007A4A33">
        <w:rPr>
          <w:i/>
          <w:iCs/>
        </w:rPr>
        <w:t>CMVs</w:t>
      </w:r>
      <w:r w:rsidR="00365FB8">
        <w:rPr>
          <w:i/>
          <w:iCs/>
        </w:rPr>
        <w:t>.</w:t>
      </w:r>
    </w:p>
    <w:p w14:paraId="3ECF7A11" w14:textId="1AF5C0BC" w:rsidR="0000621C" w:rsidRPr="006551DF" w:rsidRDefault="0000621C" w:rsidP="006551DF">
      <w:pPr>
        <w:pStyle w:val="NoSpacing"/>
        <w:rPr>
          <w:rStyle w:val="eop"/>
        </w:rPr>
      </w:pPr>
      <w:r w:rsidRPr="006551DF">
        <w:rPr>
          <w:rStyle w:val="normaltextrun"/>
        </w:rPr>
        <w:t>Driving under the influence of alcohol or drugs puts everyone on the road in danger. Due to their size and weight, crashes involving commercial motor vehicles (CMVs) have a high risk of injuries and fatalities. Impaired driving and CMVs can be a deadly combination. </w:t>
      </w:r>
      <w:r w:rsidRPr="006551DF">
        <w:rPr>
          <w:rStyle w:val="eop"/>
        </w:rPr>
        <w:t> </w:t>
      </w:r>
    </w:p>
    <w:p w14:paraId="60EFA444" w14:textId="77777777" w:rsidR="0000621C" w:rsidRDefault="0000621C" w:rsidP="00365FB8">
      <w:pPr>
        <w:spacing w:before="0" w:after="0"/>
        <w:contextualSpacing/>
        <w:textAlignment w:val="baseline"/>
        <w:rPr>
          <w:rFonts w:ascii="Calibri" w:eastAsia="Times New Roman" w:hAnsi="Calibri" w:cs="Calibri"/>
          <w:sz w:val="22"/>
          <w:szCs w:val="22"/>
        </w:rPr>
      </w:pPr>
    </w:p>
    <w:p w14:paraId="2A04D91E" w14:textId="1DB47F93" w:rsidR="00365FB8" w:rsidRDefault="00BC7696" w:rsidP="00365FB8">
      <w:pPr>
        <w:spacing w:before="0" w:after="0"/>
        <w:contextualSpacing/>
        <w:textAlignment w:val="baseline"/>
        <w:rPr>
          <w:rFonts w:ascii="Calibri" w:eastAsia="Times New Roman" w:hAnsi="Calibri" w:cs="Calibri"/>
          <w:sz w:val="22"/>
          <w:szCs w:val="22"/>
        </w:rPr>
      </w:pPr>
      <w:r>
        <w:rPr>
          <w:rFonts w:ascii="Calibri" w:eastAsia="Times New Roman" w:hAnsi="Calibri" w:cs="Calibri"/>
          <w:sz w:val="22"/>
          <w:szCs w:val="22"/>
        </w:rPr>
        <w:t>To help employers of CMV operators keep unsafe drivers off the road, t</w:t>
      </w:r>
      <w:r w:rsidR="0000621C">
        <w:rPr>
          <w:rFonts w:ascii="Calibri" w:eastAsia="Times New Roman" w:hAnsi="Calibri" w:cs="Calibri"/>
          <w:sz w:val="22"/>
          <w:szCs w:val="22"/>
        </w:rPr>
        <w:t>he Federal Motor Carrier Safety Administration (FMCSA)</w:t>
      </w:r>
      <w:r>
        <w:rPr>
          <w:rFonts w:ascii="Calibri" w:eastAsia="Times New Roman" w:hAnsi="Calibri" w:cs="Calibri"/>
          <w:sz w:val="22"/>
          <w:szCs w:val="22"/>
        </w:rPr>
        <w:t xml:space="preserve"> created the CDL Drug and Alcohol Clearinghouse (Clearinghouse).</w:t>
      </w:r>
    </w:p>
    <w:p w14:paraId="308EDEB4" w14:textId="77777777" w:rsidR="006551DF" w:rsidRDefault="006551DF" w:rsidP="00365FB8">
      <w:pPr>
        <w:spacing w:before="0" w:after="0"/>
        <w:contextualSpacing/>
        <w:textAlignment w:val="baseline"/>
        <w:rPr>
          <w:rFonts w:ascii="Calibri" w:eastAsia="Times New Roman" w:hAnsi="Calibri" w:cs="Calibri"/>
          <w:sz w:val="22"/>
          <w:szCs w:val="22"/>
        </w:rPr>
      </w:pPr>
    </w:p>
    <w:p w14:paraId="170A26B2" w14:textId="21DF9E71" w:rsidR="00365FB8" w:rsidRPr="006551DF" w:rsidRDefault="00365FB8" w:rsidP="006551DF">
      <w:pPr>
        <w:pStyle w:val="NoSpacing"/>
        <w:rPr>
          <w:b/>
          <w:bCs/>
        </w:rPr>
      </w:pPr>
      <w:r w:rsidRPr="006551DF">
        <w:rPr>
          <w:b/>
          <w:bCs/>
        </w:rPr>
        <w:t>What is the</w:t>
      </w:r>
      <w:r w:rsidR="0000621C" w:rsidRPr="006551DF">
        <w:rPr>
          <w:b/>
          <w:bCs/>
        </w:rPr>
        <w:t xml:space="preserve"> FMCSA</w:t>
      </w:r>
      <w:r w:rsidRPr="006551DF">
        <w:rPr>
          <w:b/>
          <w:bCs/>
        </w:rPr>
        <w:t xml:space="preserve"> </w:t>
      </w:r>
      <w:r w:rsidR="00BC7696" w:rsidRPr="006551DF">
        <w:rPr>
          <w:b/>
          <w:bCs/>
        </w:rPr>
        <w:t xml:space="preserve">CDL </w:t>
      </w:r>
      <w:r w:rsidRPr="006551DF">
        <w:rPr>
          <w:b/>
          <w:bCs/>
        </w:rPr>
        <w:t>Drug and Alcohol Clearinghouse?</w:t>
      </w:r>
    </w:p>
    <w:p w14:paraId="457D12F5" w14:textId="48E37A6D" w:rsidR="0000621C" w:rsidRDefault="0000621C" w:rsidP="006551DF">
      <w:pPr>
        <w:pStyle w:val="NoSpacing"/>
        <w:rPr>
          <w:rStyle w:val="normaltextrun"/>
        </w:rPr>
      </w:pPr>
      <w:r>
        <w:rPr>
          <w:rStyle w:val="normaltextrun"/>
        </w:rPr>
        <w:t>A secure, online database, the Clearinghouse retains a centralized record of positive drug and alcohol test</w:t>
      </w:r>
      <w:r w:rsidR="00BC7696">
        <w:rPr>
          <w:rStyle w:val="normaltextrun"/>
        </w:rPr>
        <w:t xml:space="preserve"> results of holders commercial driver’s licenses (CDLs) or commercial learner’s permits (CLPs). The Clearinghouse also records</w:t>
      </w:r>
      <w:r>
        <w:rPr>
          <w:rStyle w:val="normaltextrun"/>
        </w:rPr>
        <w:t xml:space="preserve"> refusals to test</w:t>
      </w:r>
      <w:r w:rsidR="00BC7696">
        <w:rPr>
          <w:rStyle w:val="normaltextrun"/>
        </w:rPr>
        <w:t>,</w:t>
      </w:r>
      <w:r>
        <w:rPr>
          <w:rStyle w:val="normaltextrun"/>
        </w:rPr>
        <w:t xml:space="preserve"> and employers’ actual knowledge of drug and alcohol program</w:t>
      </w:r>
      <w:r w:rsidR="007A4A33">
        <w:rPr>
          <w:rStyle w:val="normaltextrun"/>
        </w:rPr>
        <w:t xml:space="preserve"> violations</w:t>
      </w:r>
      <w:r w:rsidR="00BC7696">
        <w:rPr>
          <w:rStyle w:val="normaltextrun"/>
        </w:rPr>
        <w:t>, as the repercussions for these are the same as for positive test results.</w:t>
      </w:r>
    </w:p>
    <w:p w14:paraId="59DC84A8" w14:textId="77777777" w:rsidR="006551DF" w:rsidRPr="0000621C" w:rsidRDefault="006551DF" w:rsidP="006551DF">
      <w:pPr>
        <w:pStyle w:val="NoSpacing"/>
      </w:pPr>
    </w:p>
    <w:p w14:paraId="7B7B497C" w14:textId="6E7E6DDD" w:rsidR="00365FB8" w:rsidRPr="006551DF" w:rsidRDefault="00365FB8" w:rsidP="006551DF">
      <w:pPr>
        <w:pStyle w:val="NoSpacing"/>
        <w:rPr>
          <w:b/>
          <w:bCs/>
        </w:rPr>
      </w:pPr>
      <w:r w:rsidRPr="006551DF">
        <w:rPr>
          <w:b/>
          <w:bCs/>
        </w:rPr>
        <w:t>How are employers required to use the Clearinghouse?</w:t>
      </w:r>
    </w:p>
    <w:p w14:paraId="6FC0E7D3" w14:textId="25C0A2A2" w:rsidR="00BC7696" w:rsidRDefault="00BC7696" w:rsidP="00BC7696">
      <w:pPr>
        <w:spacing w:before="0" w:after="0"/>
        <w:textAlignment w:val="baseline"/>
        <w:rPr>
          <w:rFonts w:ascii="Calibri" w:eastAsia="Times New Roman" w:hAnsi="Calibri" w:cs="Calibri"/>
          <w:sz w:val="22"/>
          <w:szCs w:val="22"/>
        </w:rPr>
      </w:pPr>
      <w:r>
        <w:rPr>
          <w:rFonts w:ascii="Calibri" w:eastAsia="Times New Roman" w:hAnsi="Calibri" w:cs="Calibri"/>
          <w:sz w:val="22"/>
          <w:szCs w:val="22"/>
        </w:rPr>
        <w:t>Employers</w:t>
      </w:r>
      <w:r w:rsidR="007A4A33">
        <w:rPr>
          <w:rFonts w:ascii="Calibri" w:eastAsia="Times New Roman" w:hAnsi="Calibri" w:cs="Calibri"/>
          <w:sz w:val="22"/>
          <w:szCs w:val="22"/>
        </w:rPr>
        <w:t xml:space="preserve"> of CDL drivers</w:t>
      </w:r>
      <w:r>
        <w:rPr>
          <w:rFonts w:ascii="Calibri" w:eastAsia="Times New Roman" w:hAnsi="Calibri" w:cs="Calibri"/>
          <w:sz w:val="22"/>
          <w:szCs w:val="22"/>
        </w:rPr>
        <w:t xml:space="preserve"> must:</w:t>
      </w:r>
    </w:p>
    <w:p w14:paraId="568A7F10" w14:textId="77777777" w:rsidR="00BC7696" w:rsidRDefault="00BC7696" w:rsidP="00BC7696">
      <w:pPr>
        <w:pStyle w:val="ListParagraph"/>
        <w:numPr>
          <w:ilvl w:val="0"/>
          <w:numId w:val="4"/>
        </w:numPr>
        <w:spacing w:before="0" w:after="0"/>
        <w:textAlignment w:val="baseline"/>
        <w:rPr>
          <w:rFonts w:ascii="Calibri" w:eastAsia="Times New Roman" w:hAnsi="Calibri" w:cs="Calibri"/>
          <w:sz w:val="22"/>
          <w:szCs w:val="22"/>
        </w:rPr>
      </w:pPr>
      <w:r w:rsidRPr="00A42351">
        <w:rPr>
          <w:rFonts w:ascii="Calibri" w:eastAsia="Times New Roman" w:hAnsi="Calibri" w:cs="Calibri"/>
          <w:b/>
          <w:bCs/>
          <w:sz w:val="22"/>
          <w:szCs w:val="22"/>
        </w:rPr>
        <w:t>Conduct annual queries</w:t>
      </w:r>
      <w:r w:rsidRPr="00E75B7E">
        <w:rPr>
          <w:rFonts w:ascii="Calibri" w:eastAsia="Times New Roman" w:hAnsi="Calibri" w:cs="Calibri"/>
          <w:sz w:val="22"/>
          <w:szCs w:val="22"/>
        </w:rPr>
        <w:t xml:space="preserve"> to check if current employees are prohibited from performing safety-sensitive functions, such as operating CMVs, due to an unresolved drug and alcohol program violation.</w:t>
      </w:r>
    </w:p>
    <w:p w14:paraId="1A397AEE" w14:textId="77777777" w:rsidR="00BC7696" w:rsidRDefault="00BC7696" w:rsidP="00BC7696">
      <w:pPr>
        <w:pStyle w:val="ListParagraph"/>
        <w:numPr>
          <w:ilvl w:val="0"/>
          <w:numId w:val="4"/>
        </w:numPr>
        <w:spacing w:before="0" w:after="0"/>
        <w:textAlignment w:val="baseline"/>
        <w:rPr>
          <w:rFonts w:ascii="Calibri" w:eastAsia="Times New Roman" w:hAnsi="Calibri" w:cs="Calibri"/>
          <w:sz w:val="22"/>
          <w:szCs w:val="22"/>
        </w:rPr>
      </w:pPr>
      <w:r w:rsidRPr="00A42351">
        <w:rPr>
          <w:rFonts w:ascii="Calibri" w:eastAsia="Times New Roman" w:hAnsi="Calibri" w:cs="Calibri"/>
          <w:b/>
          <w:bCs/>
          <w:sz w:val="22"/>
          <w:szCs w:val="22"/>
        </w:rPr>
        <w:t>Conduct pre-employment queries</w:t>
      </w:r>
      <w:r>
        <w:rPr>
          <w:rFonts w:ascii="Calibri" w:eastAsia="Times New Roman" w:hAnsi="Calibri" w:cs="Calibri"/>
          <w:sz w:val="22"/>
          <w:szCs w:val="22"/>
        </w:rPr>
        <w:t xml:space="preserve"> to check if prospective hires are prohibited.</w:t>
      </w:r>
    </w:p>
    <w:p w14:paraId="1C7816F6" w14:textId="36168CA5" w:rsidR="00BC7696" w:rsidRDefault="00BC7696" w:rsidP="00365FB8">
      <w:pPr>
        <w:pStyle w:val="ListParagraph"/>
        <w:numPr>
          <w:ilvl w:val="0"/>
          <w:numId w:val="4"/>
        </w:numPr>
        <w:spacing w:before="0" w:after="0"/>
        <w:textAlignment w:val="baseline"/>
        <w:rPr>
          <w:rFonts w:ascii="Calibri" w:eastAsia="Times New Roman" w:hAnsi="Calibri" w:cs="Calibri"/>
          <w:sz w:val="22"/>
          <w:szCs w:val="22"/>
        </w:rPr>
      </w:pPr>
      <w:r w:rsidRPr="00A42351">
        <w:rPr>
          <w:rFonts w:ascii="Calibri" w:eastAsia="Times New Roman" w:hAnsi="Calibri" w:cs="Calibri"/>
          <w:b/>
          <w:bCs/>
          <w:sz w:val="22"/>
          <w:szCs w:val="22"/>
        </w:rPr>
        <w:t>Report CDL driver violations</w:t>
      </w:r>
      <w:r>
        <w:rPr>
          <w:rFonts w:ascii="Calibri" w:eastAsia="Times New Roman" w:hAnsi="Calibri" w:cs="Calibri"/>
          <w:sz w:val="22"/>
          <w:szCs w:val="22"/>
        </w:rPr>
        <w:t xml:space="preserve"> of the FMCSA Drug and Alcohol Testing Policy that are not reported by a medical review officer (MRO).</w:t>
      </w:r>
    </w:p>
    <w:p w14:paraId="7251E2BC" w14:textId="7BDA11CC" w:rsidR="00BC7696" w:rsidRDefault="00BC7696" w:rsidP="00365FB8">
      <w:pPr>
        <w:pStyle w:val="ListParagraph"/>
        <w:numPr>
          <w:ilvl w:val="0"/>
          <w:numId w:val="4"/>
        </w:numPr>
        <w:spacing w:before="0" w:after="0"/>
        <w:textAlignment w:val="baseline"/>
        <w:rPr>
          <w:rFonts w:ascii="Calibri" w:eastAsia="Times New Roman" w:hAnsi="Calibri" w:cs="Calibri"/>
          <w:sz w:val="22"/>
          <w:szCs w:val="22"/>
        </w:rPr>
      </w:pPr>
      <w:r w:rsidRPr="00A42351">
        <w:rPr>
          <w:rFonts w:ascii="Calibri" w:eastAsia="Times New Roman" w:hAnsi="Calibri" w:cs="Calibri"/>
          <w:b/>
          <w:bCs/>
          <w:sz w:val="22"/>
          <w:szCs w:val="22"/>
        </w:rPr>
        <w:t>Register in the Clearinghouse</w:t>
      </w:r>
      <w:r>
        <w:rPr>
          <w:rFonts w:ascii="Calibri" w:eastAsia="Times New Roman" w:hAnsi="Calibri" w:cs="Calibri"/>
          <w:sz w:val="22"/>
          <w:szCs w:val="22"/>
        </w:rPr>
        <w:t>, which is required to complete the above actions.</w:t>
      </w:r>
    </w:p>
    <w:p w14:paraId="77E9A71B" w14:textId="77777777" w:rsidR="006551DF" w:rsidRPr="006551DF" w:rsidRDefault="006551DF" w:rsidP="006551DF">
      <w:pPr>
        <w:spacing w:before="0" w:after="0"/>
        <w:textAlignment w:val="baseline"/>
        <w:rPr>
          <w:rFonts w:ascii="Calibri" w:eastAsia="Times New Roman" w:hAnsi="Calibri" w:cs="Calibri"/>
          <w:sz w:val="22"/>
          <w:szCs w:val="22"/>
        </w:rPr>
      </w:pPr>
    </w:p>
    <w:p w14:paraId="593B74C3" w14:textId="77777777" w:rsidR="007A4A33" w:rsidRPr="006551DF" w:rsidRDefault="007A4A33" w:rsidP="006551DF">
      <w:pPr>
        <w:pStyle w:val="NoSpacing"/>
        <w:rPr>
          <w:rStyle w:val="normaltextrun"/>
          <w:b/>
          <w:bCs/>
        </w:rPr>
      </w:pPr>
      <w:r w:rsidRPr="006551DF">
        <w:rPr>
          <w:b/>
          <w:bCs/>
        </w:rPr>
        <w:t>What types of employers does the Clearinghouse affect?</w:t>
      </w:r>
      <w:r w:rsidRPr="006551DF">
        <w:rPr>
          <w:rStyle w:val="normaltextrun"/>
          <w:b/>
          <w:bCs/>
        </w:rPr>
        <w:t xml:space="preserve"> </w:t>
      </w:r>
    </w:p>
    <w:p w14:paraId="58FB3A80" w14:textId="77777777" w:rsidR="007A4A33" w:rsidRDefault="007A4A33" w:rsidP="007A4A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Employers of all CDL and CLP holders who operate CMVs on public roads are covered by the Clearinghouse requirements. This includes, but is not limited to, employers of: </w:t>
      </w:r>
      <w:r>
        <w:rPr>
          <w:rStyle w:val="eop"/>
          <w:rFonts w:ascii="Calibri" w:hAnsi="Calibri" w:cs="Calibri"/>
          <w:sz w:val="22"/>
          <w:szCs w:val="22"/>
        </w:rPr>
        <w:t> </w:t>
      </w:r>
    </w:p>
    <w:p w14:paraId="39001C4A" w14:textId="77777777" w:rsidR="007A4A33" w:rsidRDefault="007A4A33" w:rsidP="007A4A33">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Interstate and intrastate motor carriers, including large trucks and motor coaches. </w:t>
      </w:r>
      <w:r>
        <w:rPr>
          <w:rStyle w:val="eop"/>
          <w:rFonts w:ascii="Calibri" w:hAnsi="Calibri" w:cs="Calibri"/>
          <w:sz w:val="22"/>
          <w:szCs w:val="22"/>
        </w:rPr>
        <w:t> </w:t>
      </w:r>
    </w:p>
    <w:p w14:paraId="544A09EA" w14:textId="77777777" w:rsidR="007A4A33" w:rsidRDefault="007A4A33" w:rsidP="007A4A33">
      <w:pPr>
        <w:pStyle w:val="paragraph"/>
        <w:numPr>
          <w:ilvl w:val="0"/>
          <w:numId w:val="3"/>
        </w:numPr>
        <w:spacing w:before="0" w:beforeAutospacing="0" w:after="0" w:afterAutospacing="0"/>
        <w:textAlignment w:val="baseline"/>
        <w:rPr>
          <w:rFonts w:ascii="Calibri" w:hAnsi="Calibri" w:cs="Calibri"/>
          <w:sz w:val="22"/>
          <w:szCs w:val="22"/>
        </w:rPr>
      </w:pPr>
      <w:r w:rsidRPr="005E7802">
        <w:rPr>
          <w:rStyle w:val="normaltextrun"/>
          <w:rFonts w:ascii="Calibri" w:hAnsi="Calibri" w:cs="Calibri"/>
          <w:sz w:val="22"/>
          <w:szCs w:val="22"/>
        </w:rPr>
        <w:t>School bus drivers</w:t>
      </w:r>
      <w:r>
        <w:rPr>
          <w:rStyle w:val="normaltextrun"/>
          <w:rFonts w:ascii="Calibri" w:hAnsi="Calibri" w:cs="Calibri"/>
          <w:sz w:val="22"/>
          <w:szCs w:val="22"/>
        </w:rPr>
        <w:t>.</w:t>
      </w:r>
    </w:p>
    <w:p w14:paraId="376B3757" w14:textId="77777777" w:rsidR="007A4A33" w:rsidRDefault="007A4A33" w:rsidP="007A4A33">
      <w:pPr>
        <w:pStyle w:val="paragraph"/>
        <w:numPr>
          <w:ilvl w:val="0"/>
          <w:numId w:val="3"/>
        </w:numPr>
        <w:spacing w:before="0" w:beforeAutospacing="0" w:after="0" w:afterAutospacing="0"/>
        <w:textAlignment w:val="baseline"/>
        <w:rPr>
          <w:rFonts w:ascii="Calibri" w:hAnsi="Calibri" w:cs="Calibri"/>
          <w:sz w:val="22"/>
          <w:szCs w:val="22"/>
        </w:rPr>
      </w:pPr>
      <w:r w:rsidRPr="005E7802">
        <w:rPr>
          <w:rStyle w:val="normaltextrun"/>
          <w:rFonts w:ascii="Calibri" w:hAnsi="Calibri" w:cs="Calibri"/>
          <w:sz w:val="22"/>
          <w:szCs w:val="22"/>
        </w:rPr>
        <w:t>Construction equipment operators</w:t>
      </w:r>
      <w:r>
        <w:rPr>
          <w:rStyle w:val="normaltextrun"/>
          <w:rFonts w:ascii="Calibri" w:hAnsi="Calibri" w:cs="Calibri"/>
          <w:sz w:val="22"/>
          <w:szCs w:val="22"/>
        </w:rPr>
        <w:t>.</w:t>
      </w:r>
    </w:p>
    <w:p w14:paraId="2736DC93" w14:textId="77777777" w:rsidR="007A4A33" w:rsidRDefault="007A4A33" w:rsidP="007A4A33">
      <w:pPr>
        <w:pStyle w:val="paragraph"/>
        <w:numPr>
          <w:ilvl w:val="0"/>
          <w:numId w:val="3"/>
        </w:numPr>
        <w:spacing w:before="0" w:beforeAutospacing="0" w:after="0" w:afterAutospacing="0"/>
        <w:textAlignment w:val="baseline"/>
        <w:rPr>
          <w:rFonts w:ascii="Calibri" w:hAnsi="Calibri" w:cs="Calibri"/>
          <w:sz w:val="22"/>
          <w:szCs w:val="22"/>
        </w:rPr>
      </w:pPr>
      <w:r w:rsidRPr="005E7802">
        <w:rPr>
          <w:rStyle w:val="normaltextrun"/>
          <w:rFonts w:ascii="Calibri" w:hAnsi="Calibri" w:cs="Calibri"/>
          <w:sz w:val="22"/>
          <w:szCs w:val="22"/>
        </w:rPr>
        <w:t>Limousine drivers</w:t>
      </w:r>
      <w:r>
        <w:rPr>
          <w:rStyle w:val="normaltextrun"/>
          <w:rFonts w:ascii="Calibri" w:hAnsi="Calibri" w:cs="Calibri"/>
          <w:sz w:val="22"/>
          <w:szCs w:val="22"/>
        </w:rPr>
        <w:t>.</w:t>
      </w:r>
    </w:p>
    <w:p w14:paraId="7EB8B051" w14:textId="77777777" w:rsidR="007A4A33" w:rsidRDefault="007A4A33" w:rsidP="007A4A33">
      <w:pPr>
        <w:pStyle w:val="paragraph"/>
        <w:numPr>
          <w:ilvl w:val="0"/>
          <w:numId w:val="3"/>
        </w:numPr>
        <w:spacing w:before="0" w:beforeAutospacing="0" w:after="0" w:afterAutospacing="0"/>
        <w:textAlignment w:val="baseline"/>
        <w:rPr>
          <w:rFonts w:ascii="Calibri" w:hAnsi="Calibri" w:cs="Calibri"/>
          <w:sz w:val="22"/>
          <w:szCs w:val="22"/>
        </w:rPr>
      </w:pPr>
      <w:r w:rsidRPr="005E7802">
        <w:rPr>
          <w:rStyle w:val="normaltextrun"/>
          <w:rFonts w:ascii="Calibri" w:hAnsi="Calibri" w:cs="Calibri"/>
          <w:sz w:val="22"/>
          <w:szCs w:val="22"/>
        </w:rPr>
        <w:t xml:space="preserve">Municipal vehicle drivers, </w:t>
      </w:r>
      <w:r>
        <w:rPr>
          <w:rStyle w:val="normaltextrun"/>
          <w:rFonts w:ascii="Calibri" w:hAnsi="Calibri" w:cs="Calibri"/>
          <w:sz w:val="22"/>
          <w:szCs w:val="22"/>
        </w:rPr>
        <w:t xml:space="preserve">such as </w:t>
      </w:r>
      <w:r w:rsidRPr="005E7802">
        <w:rPr>
          <w:rStyle w:val="normaltextrun"/>
          <w:rFonts w:ascii="Calibri" w:hAnsi="Calibri" w:cs="Calibri"/>
          <w:sz w:val="22"/>
          <w:szCs w:val="22"/>
        </w:rPr>
        <w:t>waste management vehicles</w:t>
      </w:r>
      <w:r>
        <w:rPr>
          <w:rStyle w:val="normaltextrun"/>
          <w:rFonts w:ascii="Calibri" w:hAnsi="Calibri" w:cs="Calibri"/>
          <w:sz w:val="22"/>
          <w:szCs w:val="22"/>
        </w:rPr>
        <w:t>.</w:t>
      </w:r>
    </w:p>
    <w:p w14:paraId="0E51071E" w14:textId="60CA5E98" w:rsidR="007A4A33" w:rsidRDefault="007A4A33" w:rsidP="007A4A33">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5E7802">
        <w:rPr>
          <w:rStyle w:val="normaltextrun"/>
          <w:rFonts w:ascii="Calibri" w:hAnsi="Calibri" w:cs="Calibri"/>
          <w:sz w:val="22"/>
          <w:szCs w:val="22"/>
        </w:rPr>
        <w:t>Federal</w:t>
      </w:r>
      <w:r>
        <w:rPr>
          <w:rStyle w:val="normaltextrun"/>
          <w:rFonts w:ascii="Calibri" w:hAnsi="Calibri" w:cs="Calibri"/>
          <w:sz w:val="22"/>
          <w:szCs w:val="22"/>
        </w:rPr>
        <w:t>, State,</w:t>
      </w:r>
      <w:r w:rsidRPr="005E7802">
        <w:rPr>
          <w:rStyle w:val="normaltextrun"/>
          <w:rFonts w:ascii="Calibri" w:hAnsi="Calibri" w:cs="Calibri"/>
          <w:sz w:val="22"/>
          <w:szCs w:val="22"/>
        </w:rPr>
        <w:t xml:space="preserve"> and </w:t>
      </w:r>
      <w:r>
        <w:rPr>
          <w:rStyle w:val="normaltextrun"/>
          <w:rFonts w:ascii="Calibri" w:hAnsi="Calibri" w:cs="Calibri"/>
          <w:sz w:val="22"/>
          <w:szCs w:val="22"/>
        </w:rPr>
        <w:t>local entities</w:t>
      </w:r>
      <w:r w:rsidRPr="005E7802">
        <w:rPr>
          <w:rStyle w:val="normaltextrun"/>
          <w:rFonts w:ascii="Calibri" w:hAnsi="Calibri" w:cs="Calibri"/>
          <w:sz w:val="22"/>
          <w:szCs w:val="22"/>
        </w:rPr>
        <w:t xml:space="preserve"> that employ drivers subject to FMCSA drug and alcohol use testing regulations (Department of Defense, municipalities, school districts</w:t>
      </w:r>
      <w:r w:rsidR="00C86B41">
        <w:rPr>
          <w:rStyle w:val="normaltextrun"/>
          <w:rFonts w:ascii="Calibri" w:hAnsi="Calibri" w:cs="Calibri"/>
          <w:sz w:val="22"/>
          <w:szCs w:val="22"/>
        </w:rPr>
        <w:t>, etc.</w:t>
      </w:r>
      <w:r w:rsidRPr="005E7802">
        <w:rPr>
          <w:rStyle w:val="normaltextrun"/>
          <w:rFonts w:ascii="Calibri" w:hAnsi="Calibri" w:cs="Calibri"/>
          <w:sz w:val="22"/>
          <w:szCs w:val="22"/>
        </w:rPr>
        <w:t>)</w:t>
      </w:r>
      <w:r w:rsidR="006551DF">
        <w:rPr>
          <w:rStyle w:val="normaltextrun"/>
          <w:rFonts w:ascii="Calibri" w:hAnsi="Calibri" w:cs="Calibri"/>
          <w:sz w:val="22"/>
          <w:szCs w:val="22"/>
        </w:rPr>
        <w:t>.</w:t>
      </w:r>
    </w:p>
    <w:p w14:paraId="1604EE1B" w14:textId="77777777" w:rsidR="006551DF" w:rsidRPr="005E7802" w:rsidRDefault="006551DF" w:rsidP="006551DF">
      <w:pPr>
        <w:pStyle w:val="paragraph"/>
        <w:spacing w:before="0" w:beforeAutospacing="0" w:after="0" w:afterAutospacing="0"/>
        <w:textAlignment w:val="baseline"/>
        <w:rPr>
          <w:rFonts w:ascii="Calibri" w:hAnsi="Calibri" w:cs="Calibri"/>
          <w:sz w:val="22"/>
          <w:szCs w:val="22"/>
        </w:rPr>
      </w:pPr>
    </w:p>
    <w:p w14:paraId="15DD554F" w14:textId="4F8B2F18" w:rsidR="00365FB8" w:rsidRPr="006551DF" w:rsidRDefault="0000621C" w:rsidP="006551DF">
      <w:pPr>
        <w:pStyle w:val="NoSpacing"/>
        <w:rPr>
          <w:b/>
          <w:bCs/>
        </w:rPr>
      </w:pPr>
      <w:r w:rsidRPr="006551DF">
        <w:rPr>
          <w:b/>
          <w:bCs/>
        </w:rPr>
        <w:t>How does a drug and alcohol program violation impact CDL drivers?</w:t>
      </w:r>
    </w:p>
    <w:p w14:paraId="5BA94EA6" w14:textId="2AF5E581" w:rsidR="00BC7696" w:rsidRDefault="00BC7696" w:rsidP="006551DF">
      <w:pPr>
        <w:pStyle w:val="NoSpacing"/>
        <w:rPr>
          <w:rStyle w:val="normaltextrun"/>
        </w:rPr>
      </w:pPr>
      <w:r>
        <w:rPr>
          <w:rStyle w:val="normaltextrun"/>
        </w:rPr>
        <w:t>Drivers must be removed from safety-sensitive functions if a query conducted by their employer indicates the driver is in a “prohibited” status. The driver must complete the return-to-duty process established in 49 CFR part 40 before resuming safety-sensitive functions.</w:t>
      </w:r>
    </w:p>
    <w:p w14:paraId="299A985E" w14:textId="6F6EF3E9" w:rsidR="0000621C" w:rsidRDefault="0000621C" w:rsidP="006551DF">
      <w:pPr>
        <w:pStyle w:val="NoSpacing"/>
        <w:rPr>
          <w:rStyle w:val="eop"/>
        </w:rPr>
      </w:pPr>
      <w:r>
        <w:rPr>
          <w:rStyle w:val="normaltextrun"/>
        </w:rPr>
        <w:lastRenderedPageBreak/>
        <w:t xml:space="preserve">By 2024, as part of new Federal regulations, FMCSA </w:t>
      </w:r>
      <w:r w:rsidR="00BC7696">
        <w:rPr>
          <w:rStyle w:val="normaltextrun"/>
        </w:rPr>
        <w:t xml:space="preserve">is </w:t>
      </w:r>
      <w:r>
        <w:rPr>
          <w:rStyle w:val="normaltextrun"/>
        </w:rPr>
        <w:t>partner</w:t>
      </w:r>
      <w:r w:rsidR="00BC7696">
        <w:rPr>
          <w:rStyle w:val="normaltextrun"/>
        </w:rPr>
        <w:t>ing</w:t>
      </w:r>
      <w:r>
        <w:rPr>
          <w:rStyle w:val="normaltextrun"/>
        </w:rPr>
        <w:t xml:space="preserve"> with State Driver’s License Agencies (SDLAs) so </w:t>
      </w:r>
      <w:r w:rsidR="00BC7696">
        <w:rPr>
          <w:rStyle w:val="normaltextrun"/>
        </w:rPr>
        <w:t>drivers with violations reported to the</w:t>
      </w:r>
      <w:r>
        <w:rPr>
          <w:rStyle w:val="normaltextrun"/>
        </w:rPr>
        <w:t xml:space="preserve"> Clearinghouse will </w:t>
      </w:r>
      <w:r w:rsidR="00BC7696">
        <w:rPr>
          <w:rStyle w:val="normaltextrun"/>
        </w:rPr>
        <w:t>lose or be denied a commercial driving privilege until the driver completes the return-to-duty process</w:t>
      </w:r>
      <w:r>
        <w:rPr>
          <w:rStyle w:val="normaltextrun"/>
        </w:rPr>
        <w:t>.</w:t>
      </w:r>
    </w:p>
    <w:p w14:paraId="0E903020" w14:textId="77777777" w:rsidR="006551DF" w:rsidRDefault="006551DF" w:rsidP="006551DF">
      <w:pPr>
        <w:pStyle w:val="NoSpacing"/>
        <w:rPr>
          <w:rStyle w:val="eop"/>
        </w:rPr>
      </w:pPr>
    </w:p>
    <w:p w14:paraId="1D439DF2" w14:textId="4C93067A" w:rsidR="001929D7" w:rsidRDefault="001929D7" w:rsidP="006551DF">
      <w:pPr>
        <w:pStyle w:val="NoSpacing"/>
        <w:rPr>
          <w:rStyle w:val="scxw190998497"/>
        </w:rPr>
      </w:pPr>
      <w:r>
        <w:rPr>
          <w:rStyle w:val="normaltextrun"/>
        </w:rPr>
        <w:t xml:space="preserve">Keeping unsafe CMV drivers off the road is the responsibility of all employers of CMV operators. </w:t>
      </w:r>
      <w:r>
        <w:rPr>
          <w:rStyle w:val="normaltextrun"/>
          <w:rFonts w:eastAsiaTheme="majorEastAsia"/>
        </w:rPr>
        <w:t xml:space="preserve">Keep your fleet running safely and protect everyone on our Nation’s roads—query the Clearinghouse records as required when you hire CDL drivers and at least once a year. </w:t>
      </w:r>
      <w:r>
        <w:rPr>
          <w:rStyle w:val="scxw190998497"/>
        </w:rPr>
        <w:t> </w:t>
      </w:r>
    </w:p>
    <w:p w14:paraId="3F6C61C5" w14:textId="77777777" w:rsidR="006551DF" w:rsidRDefault="006551DF" w:rsidP="006551DF">
      <w:pPr>
        <w:pStyle w:val="NoSpacing"/>
        <w:rPr>
          <w:rStyle w:val="scxw190998497"/>
        </w:rPr>
      </w:pPr>
    </w:p>
    <w:p w14:paraId="116658F6" w14:textId="3BEF882D" w:rsidR="001929D7" w:rsidRDefault="001929D7" w:rsidP="006551DF">
      <w:pPr>
        <w:pStyle w:val="NoSpacing"/>
        <w:rPr>
          <w:rStyle w:val="scxw190998497"/>
        </w:rPr>
      </w:pPr>
      <w:r>
        <w:rPr>
          <w:rStyle w:val="scxw190998497"/>
        </w:rPr>
        <w:t xml:space="preserve">For more information, visit </w:t>
      </w:r>
      <w:hyperlink r:id="rId10" w:history="1">
        <w:r w:rsidRPr="0035472A">
          <w:rPr>
            <w:rStyle w:val="Hyperlink"/>
          </w:rPr>
          <w:t>https://clearinghouse.fmcsa.dot.gov</w:t>
        </w:r>
      </w:hyperlink>
      <w:r>
        <w:rPr>
          <w:rStyle w:val="scxw190998497"/>
        </w:rPr>
        <w:t xml:space="preserve">. </w:t>
      </w:r>
    </w:p>
    <w:p w14:paraId="6F47F65E" w14:textId="199C6513" w:rsidR="006551DF" w:rsidRDefault="006551DF" w:rsidP="006551DF">
      <w:pPr>
        <w:pStyle w:val="NoSpacing"/>
      </w:pPr>
    </w:p>
    <w:p w14:paraId="1FDE5462" w14:textId="77777777" w:rsidR="0064034A" w:rsidRDefault="0064034A" w:rsidP="006551DF">
      <w:pPr>
        <w:pStyle w:val="NoSpacing"/>
      </w:pPr>
    </w:p>
    <w:p w14:paraId="7BF73248" w14:textId="42674E8D" w:rsidR="001929D7" w:rsidRPr="006551DF" w:rsidRDefault="006551DF" w:rsidP="006551DF">
      <w:pPr>
        <w:pStyle w:val="Heading2"/>
        <w:shd w:val="clear" w:color="auto" w:fill="DEEAF6" w:themeFill="accent5" w:themeFillTint="33"/>
        <w:spacing w:before="0" w:after="60" w:line="375" w:lineRule="atLeast"/>
        <w:rPr>
          <w:rFonts w:ascii="Helvetica" w:hAnsi="Helvetica"/>
          <w:b/>
          <w:bCs/>
          <w:color w:val="002060"/>
          <w:sz w:val="27"/>
          <w:szCs w:val="27"/>
        </w:rPr>
      </w:pPr>
      <w:r w:rsidRPr="006551DF">
        <w:rPr>
          <w:rFonts w:ascii="Helvetica" w:hAnsi="Helvetica"/>
          <w:b/>
          <w:bCs/>
          <w:color w:val="002060"/>
          <w:sz w:val="27"/>
          <w:szCs w:val="27"/>
        </w:rPr>
        <w:t xml:space="preserve">Sample </w:t>
      </w:r>
      <w:r w:rsidR="00FD235E">
        <w:rPr>
          <w:rFonts w:ascii="Helvetica" w:hAnsi="Helvetica"/>
          <w:b/>
          <w:bCs/>
          <w:color w:val="002060"/>
          <w:sz w:val="27"/>
          <w:szCs w:val="27"/>
        </w:rPr>
        <w:t>e-</w:t>
      </w:r>
      <w:r w:rsidRPr="006551DF">
        <w:rPr>
          <w:rFonts w:ascii="Helvetica" w:hAnsi="Helvetica"/>
          <w:b/>
          <w:bCs/>
          <w:color w:val="002060"/>
          <w:sz w:val="27"/>
          <w:szCs w:val="27"/>
        </w:rPr>
        <w:t>Newsletter Blurbs</w:t>
      </w:r>
    </w:p>
    <w:p w14:paraId="1A27FA71" w14:textId="77777777" w:rsidR="006551DF" w:rsidRDefault="006551DF" w:rsidP="006551DF">
      <w:pPr>
        <w:pStyle w:val="NoSpacing"/>
      </w:pPr>
    </w:p>
    <w:p w14:paraId="6B7210F9" w14:textId="7A4091D8" w:rsidR="001929D7" w:rsidRPr="006551DF" w:rsidRDefault="001929D7" w:rsidP="006551DF">
      <w:pPr>
        <w:pStyle w:val="NoSpacing"/>
        <w:rPr>
          <w:b/>
          <w:bCs/>
          <w:sz w:val="28"/>
          <w:szCs w:val="28"/>
        </w:rPr>
      </w:pPr>
      <w:r w:rsidRPr="006551DF">
        <w:rPr>
          <w:b/>
          <w:bCs/>
          <w:sz w:val="28"/>
          <w:szCs w:val="28"/>
        </w:rPr>
        <w:t xml:space="preserve">Stand Against Impaired Driving: Query the Drug and Alcohol Clearinghouse </w:t>
      </w:r>
    </w:p>
    <w:p w14:paraId="57280F08" w14:textId="29DE83FB" w:rsidR="00E7257E" w:rsidRPr="00E7257E" w:rsidRDefault="001929D7" w:rsidP="006551DF">
      <w:pPr>
        <w:pStyle w:val="NoSpacing"/>
      </w:pPr>
      <w:r w:rsidRPr="00E7257E">
        <w:t xml:space="preserve">The FMCSA CDL Drug and Alcohol Clearinghouse retains records of drug and alcohol program violations. Employers of CMV operators are required to query the Clearinghouse annually, and before hiring new CDL drivers, to ensure </w:t>
      </w:r>
      <w:r w:rsidR="00E7257E" w:rsidRPr="00E7257E">
        <w:t>drivers are not prohibited from operating a CMV.</w:t>
      </w:r>
      <w:r w:rsidR="00E7257E" w:rsidRPr="00E7257E">
        <w:rPr>
          <w:rFonts w:eastAsia="Times New Roman"/>
        </w:rPr>
        <w:t xml:space="preserve"> </w:t>
      </w:r>
      <w:r w:rsidR="00E7257E">
        <w:rPr>
          <w:rStyle w:val="normaltextrun"/>
          <w:rFonts w:eastAsiaTheme="majorEastAsia"/>
        </w:rPr>
        <w:t xml:space="preserve">Keep your fleet running safely and protect everyone on our Nation’s roads—query the Clearinghouse records as required when you hire CDL drivers and at least once a year. </w:t>
      </w:r>
      <w:r w:rsidR="00E7257E">
        <w:rPr>
          <w:rStyle w:val="scxw190998497"/>
        </w:rPr>
        <w:t xml:space="preserve">To learn more, visit </w:t>
      </w:r>
      <w:hyperlink r:id="rId11" w:history="1">
        <w:r w:rsidR="00E7257E" w:rsidRPr="0035472A">
          <w:rPr>
            <w:rStyle w:val="Hyperlink"/>
          </w:rPr>
          <w:t>https://clearinghouse.fmcsa.dot.gov</w:t>
        </w:r>
      </w:hyperlink>
      <w:r w:rsidR="00E7257E">
        <w:rPr>
          <w:rStyle w:val="scxw190998497"/>
        </w:rPr>
        <w:t xml:space="preserve">. </w:t>
      </w:r>
    </w:p>
    <w:p w14:paraId="06866753" w14:textId="6D36A21B" w:rsidR="00E7257E" w:rsidRDefault="00E7257E" w:rsidP="007A16DC">
      <w:pPr>
        <w:pStyle w:val="NormalWeb"/>
        <w:spacing w:before="0" w:beforeAutospacing="0" w:after="0" w:afterAutospacing="0"/>
        <w:contextualSpacing/>
        <w:textAlignment w:val="baseline"/>
        <w:rPr>
          <w:rFonts w:eastAsia="Times New Roman"/>
        </w:rPr>
      </w:pPr>
    </w:p>
    <w:p w14:paraId="506C8683" w14:textId="099C4C9D" w:rsidR="0029568F" w:rsidRDefault="0029568F" w:rsidP="007A16DC">
      <w:pPr>
        <w:pStyle w:val="NormalWeb"/>
        <w:spacing w:before="0" w:beforeAutospacing="0" w:after="0" w:afterAutospacing="0"/>
        <w:contextualSpacing/>
        <w:textAlignment w:val="baseline"/>
        <w:rPr>
          <w:rFonts w:eastAsia="Times New Roman"/>
        </w:rPr>
      </w:pPr>
      <w:r>
        <w:rPr>
          <w:rFonts w:eastAsia="Times New Roman"/>
        </w:rPr>
        <w:t>--</w:t>
      </w:r>
    </w:p>
    <w:p w14:paraId="5A2E1945" w14:textId="77777777" w:rsidR="0029568F" w:rsidRDefault="0029568F" w:rsidP="007A16DC">
      <w:pPr>
        <w:pStyle w:val="NormalWeb"/>
        <w:spacing w:before="0" w:beforeAutospacing="0" w:after="0" w:afterAutospacing="0"/>
        <w:contextualSpacing/>
        <w:textAlignment w:val="baseline"/>
        <w:rPr>
          <w:rFonts w:eastAsia="Times New Roman"/>
        </w:rPr>
      </w:pPr>
    </w:p>
    <w:p w14:paraId="11C91703" w14:textId="4C5B97FB" w:rsidR="00E7257E" w:rsidRPr="006551DF" w:rsidRDefault="00E7257E" w:rsidP="006551DF">
      <w:pPr>
        <w:pStyle w:val="NoSpacing"/>
        <w:rPr>
          <w:b/>
          <w:bCs/>
          <w:sz w:val="28"/>
          <w:szCs w:val="28"/>
        </w:rPr>
      </w:pPr>
      <w:r w:rsidRPr="006551DF">
        <w:rPr>
          <w:b/>
          <w:bCs/>
          <w:sz w:val="28"/>
          <w:szCs w:val="28"/>
        </w:rPr>
        <w:t xml:space="preserve">Are Your Drug and Alcohol Clearinghouse Queries </w:t>
      </w:r>
      <w:r w:rsidR="0029568F" w:rsidRPr="006551DF">
        <w:rPr>
          <w:b/>
          <w:bCs/>
          <w:sz w:val="28"/>
          <w:szCs w:val="28"/>
        </w:rPr>
        <w:t>Up to Date</w:t>
      </w:r>
      <w:r w:rsidRPr="006551DF">
        <w:rPr>
          <w:b/>
          <w:bCs/>
          <w:sz w:val="28"/>
          <w:szCs w:val="28"/>
        </w:rPr>
        <w:t xml:space="preserve">? </w:t>
      </w:r>
    </w:p>
    <w:p w14:paraId="62956CAF" w14:textId="49E0A8D8" w:rsidR="00E7257E" w:rsidRPr="00B27DEF" w:rsidRDefault="00E7257E" w:rsidP="00E7257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FMCSA’s CDL Drug and Alcohol Clearinghouse retains records of positive tests and test refusals for all CDL drivers subject to FMCSA’s Drug and Alcohol Testing Program. If you employ CDL holders such as school bus drivers, municipal equipment operators, limousine drivers, or construction equipment operators, make sure they are not prohibited from operating CMVs—register in the Clearinghouse and meet your query requirements.</w:t>
      </w:r>
      <w:r>
        <w:rPr>
          <w:rStyle w:val="scxw190998497"/>
          <w:rFonts w:ascii="Calibri" w:hAnsi="Calibri" w:cs="Calibri"/>
          <w:sz w:val="22"/>
          <w:szCs w:val="22"/>
        </w:rPr>
        <w:t> </w:t>
      </w:r>
      <w:r>
        <w:rPr>
          <w:rStyle w:val="normaltextrun"/>
          <w:rFonts w:ascii="Calibri" w:eastAsiaTheme="majorEastAsia" w:hAnsi="Calibri" w:cs="Calibri"/>
          <w:sz w:val="22"/>
          <w:szCs w:val="22"/>
        </w:rPr>
        <w:t xml:space="preserve">Learn more at </w:t>
      </w:r>
      <w:hyperlink r:id="rId12" w:tgtFrame="_blank" w:history="1">
        <w:r>
          <w:rPr>
            <w:rStyle w:val="normaltextrun"/>
            <w:rFonts w:ascii="Calibri" w:eastAsiaTheme="majorEastAsia" w:hAnsi="Calibri" w:cs="Calibri"/>
            <w:color w:val="0563C1"/>
            <w:sz w:val="22"/>
            <w:szCs w:val="22"/>
            <w:u w:val="single"/>
          </w:rPr>
          <w:t>https://clearinghouse.fmcsa.dot.gov/register</w:t>
        </w:r>
      </w:hyperlink>
      <w:r>
        <w:rPr>
          <w:rStyle w:val="normaltextrun"/>
          <w:rFonts w:ascii="Calibri" w:eastAsiaTheme="majorEastAsia" w:hAnsi="Calibri" w:cs="Calibri"/>
          <w:sz w:val="22"/>
          <w:szCs w:val="22"/>
        </w:rPr>
        <w:t>. </w:t>
      </w:r>
    </w:p>
    <w:p w14:paraId="5CBAF51E" w14:textId="77777777" w:rsidR="00E7257E" w:rsidRDefault="00E7257E" w:rsidP="00E7257E">
      <w:pPr>
        <w:pStyle w:val="paragraph"/>
        <w:spacing w:before="0" w:beforeAutospacing="0" w:after="0" w:afterAutospacing="0"/>
        <w:textAlignment w:val="baseline"/>
        <w:rPr>
          <w:rStyle w:val="normaltextrun"/>
          <w:rFonts w:ascii="Calibri" w:eastAsiaTheme="majorEastAsia" w:hAnsi="Calibri" w:cs="Calibri"/>
          <w:color w:val="000000"/>
          <w:sz w:val="22"/>
          <w:szCs w:val="22"/>
          <w:shd w:val="clear" w:color="auto" w:fill="FFFFFF"/>
        </w:rPr>
      </w:pPr>
    </w:p>
    <w:p w14:paraId="7E0F165C" w14:textId="72C0EE68" w:rsidR="0029568F" w:rsidRDefault="0029568F" w:rsidP="00E7257E">
      <w:pPr>
        <w:pStyle w:val="paragraph"/>
        <w:spacing w:before="0" w:beforeAutospacing="0" w:after="0" w:afterAutospacing="0"/>
        <w:textAlignment w:val="baseline"/>
        <w:rPr>
          <w:rStyle w:val="normaltextrun"/>
          <w:rFonts w:ascii="Calibri" w:eastAsiaTheme="majorEastAsia" w:hAnsi="Calibri" w:cs="Calibri"/>
          <w:color w:val="000000"/>
          <w:sz w:val="22"/>
          <w:szCs w:val="22"/>
          <w:shd w:val="clear" w:color="auto" w:fill="FFFFFF"/>
        </w:rPr>
      </w:pPr>
      <w:r>
        <w:rPr>
          <w:rStyle w:val="normaltextrun"/>
          <w:rFonts w:ascii="Calibri" w:eastAsiaTheme="majorEastAsia" w:hAnsi="Calibri" w:cs="Calibri"/>
          <w:color w:val="000000"/>
          <w:sz w:val="22"/>
          <w:szCs w:val="22"/>
          <w:shd w:val="clear" w:color="auto" w:fill="FFFFFF"/>
        </w:rPr>
        <w:t>--</w:t>
      </w:r>
    </w:p>
    <w:p w14:paraId="62205E6A" w14:textId="77777777" w:rsidR="0029568F" w:rsidRDefault="0029568F" w:rsidP="00E7257E">
      <w:pPr>
        <w:pStyle w:val="paragraph"/>
        <w:spacing w:before="0" w:beforeAutospacing="0" w:after="0" w:afterAutospacing="0"/>
        <w:textAlignment w:val="baseline"/>
        <w:rPr>
          <w:rStyle w:val="normaltextrun"/>
          <w:rFonts w:ascii="Calibri" w:eastAsiaTheme="majorEastAsia" w:hAnsi="Calibri" w:cs="Calibri"/>
          <w:color w:val="000000"/>
          <w:sz w:val="22"/>
          <w:szCs w:val="22"/>
          <w:shd w:val="clear" w:color="auto" w:fill="FFFFFF"/>
        </w:rPr>
      </w:pPr>
    </w:p>
    <w:p w14:paraId="28B79148" w14:textId="649E32D2" w:rsidR="00E7257E" w:rsidRPr="006551DF" w:rsidRDefault="00E7257E" w:rsidP="006551DF">
      <w:pPr>
        <w:pStyle w:val="NoSpacing"/>
        <w:rPr>
          <w:b/>
          <w:bCs/>
          <w:sz w:val="28"/>
          <w:szCs w:val="28"/>
        </w:rPr>
      </w:pPr>
      <w:r w:rsidRPr="006551DF">
        <w:rPr>
          <w:b/>
          <w:bCs/>
          <w:sz w:val="28"/>
          <w:szCs w:val="28"/>
        </w:rPr>
        <w:t>Register in the Drug and Alcohol Clearinghouse to Keep Your Fleet Running Safe</w:t>
      </w:r>
    </w:p>
    <w:p w14:paraId="6A848FE0" w14:textId="0B5A62BB" w:rsidR="00E7257E" w:rsidRPr="00E7257E" w:rsidRDefault="00E7257E" w:rsidP="00E7257E">
      <w:pPr>
        <w:pStyle w:val="paragraph"/>
        <w:spacing w:before="0" w:beforeAutospacing="0" w:after="0" w:afterAutospacing="0"/>
        <w:textAlignment w:val="baseline"/>
        <w:rPr>
          <w:rFonts w:ascii="Calibri" w:hAnsi="Calibri" w:cs="Calibri"/>
          <w:color w:val="2F5496"/>
          <w:sz w:val="22"/>
          <w:szCs w:val="22"/>
        </w:rPr>
      </w:pPr>
      <w:r>
        <w:rPr>
          <w:rStyle w:val="normaltextrun"/>
          <w:rFonts w:ascii="Calibri" w:eastAsiaTheme="majorEastAsia" w:hAnsi="Calibri" w:cs="Calibri"/>
          <w:color w:val="000000"/>
          <w:sz w:val="22"/>
          <w:szCs w:val="22"/>
          <w:shd w:val="clear" w:color="auto" w:fill="FFFFFF"/>
        </w:rPr>
        <w:t>Using FMCSA’s CDL Drug and Alcohol Clearinghouse helps support roadway safety by giving employers real-time access to information about CDL drivers’ positive drug and alcohol tests and test refusals.</w:t>
      </w:r>
      <w:r>
        <w:rPr>
          <w:rStyle w:val="eop"/>
          <w:rFonts w:ascii="Calibri" w:hAnsi="Calibri" w:cs="Calibri"/>
          <w:color w:val="000000"/>
          <w:sz w:val="22"/>
          <w:szCs w:val="22"/>
        </w:rPr>
        <w:t> </w:t>
      </w:r>
      <w:r w:rsidRPr="00ED41EF">
        <w:rPr>
          <w:rStyle w:val="normaltextrun"/>
          <w:rFonts w:ascii="Calibri" w:eastAsiaTheme="majorEastAsia" w:hAnsi="Calibri" w:cs="Calibri"/>
          <w:color w:val="000000"/>
          <w:sz w:val="22"/>
          <w:szCs w:val="22"/>
          <w:shd w:val="clear" w:color="auto" w:fill="FFFFFF"/>
        </w:rPr>
        <w:t xml:space="preserve">More than </w:t>
      </w:r>
      <w:r>
        <w:rPr>
          <w:rStyle w:val="normaltextrun"/>
          <w:rFonts w:ascii="Calibri" w:eastAsiaTheme="majorEastAsia" w:hAnsi="Calibri" w:cs="Calibri"/>
          <w:color w:val="000000"/>
          <w:sz w:val="22"/>
          <w:szCs w:val="22"/>
          <w:shd w:val="clear" w:color="auto" w:fill="FFFFFF"/>
        </w:rPr>
        <w:t>35</w:t>
      </w:r>
      <w:r w:rsidRPr="00ED41EF">
        <w:rPr>
          <w:rStyle w:val="normaltextrun"/>
          <w:rFonts w:ascii="Calibri" w:eastAsiaTheme="majorEastAsia" w:hAnsi="Calibri" w:cs="Calibri"/>
          <w:color w:val="000000"/>
          <w:sz w:val="22"/>
          <w:szCs w:val="22"/>
          <w:shd w:val="clear" w:color="auto" w:fill="FFFFFF"/>
        </w:rPr>
        <w:t>0,000 employers of CDL drivers have registered in the Drug and Alcohol Clearinghouse. Are you one of them?</w:t>
      </w:r>
      <w:r>
        <w:rPr>
          <w:rStyle w:val="normaltextrun"/>
          <w:rFonts w:ascii="Calibri" w:eastAsiaTheme="majorEastAsia" w:hAnsi="Calibri" w:cs="Calibri"/>
          <w:color w:val="000000"/>
          <w:sz w:val="22"/>
          <w:szCs w:val="22"/>
          <w:shd w:val="clear" w:color="auto" w:fill="FFFFFF"/>
        </w:rPr>
        <w:t xml:space="preserve"> </w:t>
      </w:r>
      <w:r>
        <w:rPr>
          <w:rStyle w:val="scxw190998497"/>
          <w:rFonts w:ascii="Calibri" w:hAnsi="Calibri" w:cs="Calibri"/>
          <w:sz w:val="22"/>
          <w:szCs w:val="22"/>
        </w:rPr>
        <w:t xml:space="preserve">To learn more, visit </w:t>
      </w:r>
      <w:hyperlink r:id="rId13" w:history="1">
        <w:r w:rsidRPr="0035472A">
          <w:rPr>
            <w:rStyle w:val="Hyperlink"/>
            <w:rFonts w:ascii="Calibri" w:hAnsi="Calibri" w:cs="Calibri"/>
            <w:sz w:val="22"/>
            <w:szCs w:val="22"/>
          </w:rPr>
          <w:t>https://clearinghouse.fmcsa.dot.gov</w:t>
        </w:r>
      </w:hyperlink>
      <w:r>
        <w:rPr>
          <w:rStyle w:val="scxw190998497"/>
          <w:rFonts w:ascii="Calibri" w:hAnsi="Calibri" w:cs="Calibri"/>
          <w:sz w:val="22"/>
          <w:szCs w:val="22"/>
        </w:rPr>
        <w:t xml:space="preserve">. </w:t>
      </w:r>
    </w:p>
    <w:p w14:paraId="63F5E689" w14:textId="4ABA5104" w:rsidR="00E7257E" w:rsidRDefault="00E7257E" w:rsidP="007A16DC">
      <w:pPr>
        <w:pStyle w:val="NormalWeb"/>
        <w:spacing w:before="0" w:beforeAutospacing="0" w:after="0" w:afterAutospacing="0"/>
        <w:contextualSpacing/>
        <w:textAlignment w:val="baseline"/>
        <w:rPr>
          <w:rFonts w:eastAsia="Times New Roman"/>
        </w:rPr>
      </w:pPr>
    </w:p>
    <w:p w14:paraId="4C4886B6" w14:textId="59436A65" w:rsidR="0029568F" w:rsidRDefault="0029568F" w:rsidP="007A16DC">
      <w:pPr>
        <w:pStyle w:val="NormalWeb"/>
        <w:spacing w:before="0" w:beforeAutospacing="0" w:after="0" w:afterAutospacing="0"/>
        <w:contextualSpacing/>
        <w:textAlignment w:val="baseline"/>
        <w:rPr>
          <w:rFonts w:eastAsia="Times New Roman"/>
        </w:rPr>
      </w:pPr>
      <w:r>
        <w:rPr>
          <w:rFonts w:eastAsia="Times New Roman"/>
        </w:rPr>
        <w:t>--</w:t>
      </w:r>
    </w:p>
    <w:p w14:paraId="10A40DE3" w14:textId="77777777" w:rsidR="0029568F" w:rsidRDefault="0029568F" w:rsidP="007A16DC">
      <w:pPr>
        <w:pStyle w:val="NormalWeb"/>
        <w:spacing w:before="0" w:beforeAutospacing="0" w:after="0" w:afterAutospacing="0"/>
        <w:contextualSpacing/>
        <w:textAlignment w:val="baseline"/>
        <w:rPr>
          <w:rFonts w:eastAsia="Times New Roman"/>
        </w:rPr>
      </w:pPr>
    </w:p>
    <w:p w14:paraId="62A5125C" w14:textId="5759DA4A" w:rsidR="00E7257E" w:rsidRPr="006551DF" w:rsidRDefault="00E7257E" w:rsidP="006551DF">
      <w:pPr>
        <w:pStyle w:val="NoSpacing"/>
        <w:rPr>
          <w:b/>
          <w:bCs/>
          <w:sz w:val="28"/>
          <w:szCs w:val="28"/>
        </w:rPr>
      </w:pPr>
      <w:r w:rsidRPr="006551DF">
        <w:rPr>
          <w:b/>
          <w:bCs/>
          <w:sz w:val="28"/>
          <w:szCs w:val="28"/>
        </w:rPr>
        <w:t>Drug and Alcohol Clearinghouse Requirements for Owner-Operators</w:t>
      </w:r>
    </w:p>
    <w:p w14:paraId="51D7A1B1" w14:textId="246705DE" w:rsidR="31C50585" w:rsidRPr="0029568F" w:rsidRDefault="00E7257E" w:rsidP="0029568F">
      <w:pPr>
        <w:pStyle w:val="paragraph"/>
        <w:spacing w:before="0" w:beforeAutospacing="0" w:after="0" w:afterAutospacing="0"/>
        <w:textAlignment w:val="baseline"/>
        <w:rPr>
          <w:rStyle w:val="eop"/>
          <w:rFonts w:ascii="Calibri" w:hAnsi="Calibri" w:cs="Calibri"/>
          <w:sz w:val="22"/>
          <w:szCs w:val="22"/>
        </w:rPr>
      </w:pPr>
      <w:r w:rsidRPr="31C50585">
        <w:rPr>
          <w:rStyle w:val="normaltextrun"/>
          <w:rFonts w:ascii="Calibri" w:eastAsiaTheme="majorEastAsia" w:hAnsi="Calibri" w:cs="Calibri"/>
          <w:sz w:val="22"/>
          <w:szCs w:val="22"/>
        </w:rPr>
        <w:t>If you operate a CMV for a company you own, you are required to register in the FMCSA CDL Drug and Alcohol Clearinghouse and conduct annual queries—even if you don’t employ other drivers. As an owner-operator, you must also designate a consortium/third-party administrator (C/TPA) to remain compliant.</w:t>
      </w:r>
      <w:r w:rsidRPr="31C50585">
        <w:rPr>
          <w:rStyle w:val="eop"/>
          <w:rFonts w:ascii="Calibri" w:hAnsi="Calibri" w:cs="Calibri"/>
          <w:sz w:val="22"/>
          <w:szCs w:val="22"/>
        </w:rPr>
        <w:t> </w:t>
      </w:r>
      <w:r w:rsidRPr="31C50585">
        <w:rPr>
          <w:rStyle w:val="normaltextrun"/>
          <w:rFonts w:ascii="Calibri" w:eastAsiaTheme="majorEastAsia" w:hAnsi="Calibri" w:cs="Calibri"/>
          <w:sz w:val="22"/>
          <w:szCs w:val="22"/>
        </w:rPr>
        <w:t xml:space="preserve">Stand against impaired driving—register today. Visit </w:t>
      </w:r>
      <w:hyperlink r:id="rId14">
        <w:r w:rsidRPr="31C50585">
          <w:rPr>
            <w:rStyle w:val="Hyperlink"/>
            <w:rFonts w:ascii="Calibri" w:eastAsiaTheme="majorEastAsia" w:hAnsi="Calibri" w:cs="Calibri"/>
            <w:sz w:val="22"/>
            <w:szCs w:val="22"/>
          </w:rPr>
          <w:t>https://clearinghouse.fmcsa.dot.gov/register. </w:t>
        </w:r>
        <w:r w:rsidRPr="31C50585">
          <w:rPr>
            <w:rStyle w:val="Hyperlink"/>
            <w:rFonts w:ascii="Calibri" w:hAnsi="Calibri" w:cs="Calibri"/>
            <w:sz w:val="22"/>
            <w:szCs w:val="22"/>
          </w:rPr>
          <w:t> </w:t>
        </w:r>
      </w:hyperlink>
    </w:p>
    <w:sectPr w:rsidR="31C50585" w:rsidRPr="0029568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7D7D" w14:textId="77777777" w:rsidR="006551DF" w:rsidRDefault="006551DF" w:rsidP="006551DF">
      <w:pPr>
        <w:spacing w:before="0" w:after="0"/>
      </w:pPr>
      <w:r>
        <w:separator/>
      </w:r>
    </w:p>
  </w:endnote>
  <w:endnote w:type="continuationSeparator" w:id="0">
    <w:p w14:paraId="1AA8A59D" w14:textId="77777777" w:rsidR="006551DF" w:rsidRDefault="006551DF" w:rsidP="006551DF">
      <w:pPr>
        <w:spacing w:before="0" w:after="0"/>
      </w:pPr>
      <w:r>
        <w:continuationSeparator/>
      </w:r>
    </w:p>
  </w:endnote>
  <w:endnote w:type="continuationNotice" w:id="1">
    <w:p w14:paraId="0D2E6288" w14:textId="77777777" w:rsidR="0038503A" w:rsidRDefault="00385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08EB" w14:textId="77777777" w:rsidR="006551DF" w:rsidRDefault="006551DF" w:rsidP="006551DF">
      <w:pPr>
        <w:spacing w:before="0" w:after="0"/>
      </w:pPr>
      <w:r>
        <w:separator/>
      </w:r>
    </w:p>
  </w:footnote>
  <w:footnote w:type="continuationSeparator" w:id="0">
    <w:p w14:paraId="097EE60D" w14:textId="77777777" w:rsidR="006551DF" w:rsidRDefault="006551DF" w:rsidP="006551DF">
      <w:pPr>
        <w:spacing w:before="0" w:after="0"/>
      </w:pPr>
      <w:r>
        <w:continuationSeparator/>
      </w:r>
    </w:p>
  </w:footnote>
  <w:footnote w:type="continuationNotice" w:id="1">
    <w:p w14:paraId="207D0578" w14:textId="77777777" w:rsidR="0038503A" w:rsidRDefault="003850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387E" w14:textId="220D5F7C" w:rsidR="006551DF" w:rsidRDefault="006551DF">
    <w:pPr>
      <w:pStyle w:val="Header"/>
    </w:pPr>
    <w:r>
      <w:rPr>
        <w:noProof/>
      </w:rPr>
      <w:drawing>
        <wp:anchor distT="0" distB="0" distL="114300" distR="114300" simplePos="0" relativeHeight="251658240" behindDoc="0" locked="0" layoutInCell="1" allowOverlap="1" wp14:anchorId="7614ED16" wp14:editId="6C07216E">
          <wp:simplePos x="0" y="0"/>
          <wp:positionH relativeFrom="column">
            <wp:posOffset>-914400</wp:posOffset>
          </wp:positionH>
          <wp:positionV relativeFrom="paragraph">
            <wp:posOffset>-457200</wp:posOffset>
          </wp:positionV>
          <wp:extent cx="7815580" cy="815340"/>
          <wp:effectExtent l="0" t="0" r="0" b="3810"/>
          <wp:wrapNone/>
          <wp:docPr id="2" name="Picture 2" descr="head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5580" cy="8153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6A08"/>
    <w:multiLevelType w:val="multilevel"/>
    <w:tmpl w:val="29AA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A488D"/>
    <w:multiLevelType w:val="hybridMultilevel"/>
    <w:tmpl w:val="1F1A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E29F3"/>
    <w:multiLevelType w:val="hybridMultilevel"/>
    <w:tmpl w:val="87F6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D0380"/>
    <w:multiLevelType w:val="hybridMultilevel"/>
    <w:tmpl w:val="CBE4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1179E"/>
    <w:multiLevelType w:val="multilevel"/>
    <w:tmpl w:val="6EF2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8E"/>
    <w:rsid w:val="0000621C"/>
    <w:rsid w:val="00053321"/>
    <w:rsid w:val="001929D7"/>
    <w:rsid w:val="0029568F"/>
    <w:rsid w:val="00365FB8"/>
    <w:rsid w:val="0038503A"/>
    <w:rsid w:val="00396E61"/>
    <w:rsid w:val="00530C8E"/>
    <w:rsid w:val="005E7802"/>
    <w:rsid w:val="00620D37"/>
    <w:rsid w:val="0064034A"/>
    <w:rsid w:val="00641175"/>
    <w:rsid w:val="006551DF"/>
    <w:rsid w:val="007303A9"/>
    <w:rsid w:val="007A16DC"/>
    <w:rsid w:val="007A4A33"/>
    <w:rsid w:val="00853664"/>
    <w:rsid w:val="00A42351"/>
    <w:rsid w:val="00BA4B65"/>
    <w:rsid w:val="00BC7696"/>
    <w:rsid w:val="00C86B41"/>
    <w:rsid w:val="00E26713"/>
    <w:rsid w:val="00E7257E"/>
    <w:rsid w:val="00FB1A06"/>
    <w:rsid w:val="00FD235E"/>
    <w:rsid w:val="31C5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D6D4"/>
  <w15:chartTrackingRefBased/>
  <w15:docId w15:val="{352AF315-21F2-492C-A43F-795C1D4A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C8E"/>
    <w:pPr>
      <w:spacing w:before="120" w:after="200" w:line="240" w:lineRule="auto"/>
    </w:pPr>
    <w:rPr>
      <w:rFonts w:asciiTheme="majorHAnsi" w:hAnsiTheme="majorHAnsi"/>
      <w:sz w:val="24"/>
      <w:szCs w:val="24"/>
    </w:rPr>
  </w:style>
  <w:style w:type="paragraph" w:styleId="Heading1">
    <w:name w:val="heading 1"/>
    <w:basedOn w:val="Normal"/>
    <w:next w:val="Normal"/>
    <w:link w:val="Heading1Char"/>
    <w:uiPriority w:val="9"/>
    <w:qFormat/>
    <w:rsid w:val="001929D7"/>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1DF"/>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551DF"/>
    <w:pPr>
      <w:spacing w:before="0" w:after="0"/>
      <w:contextualSpacing/>
      <w:textAlignment w:val="baseline"/>
    </w:pPr>
    <w:rPr>
      <w:rFonts w:ascii="Calibri" w:hAnsi="Calibri" w:cs="Calibri"/>
      <w:color w:val="000000"/>
      <w:sz w:val="22"/>
      <w:szCs w:val="22"/>
      <w:shd w:val="clear" w:color="auto" w:fill="FFFFFF"/>
    </w:rPr>
  </w:style>
  <w:style w:type="paragraph" w:styleId="NormalWeb">
    <w:name w:val="Normal (Web)"/>
    <w:basedOn w:val="Normal"/>
    <w:uiPriority w:val="99"/>
    <w:unhideWhenUsed/>
    <w:rsid w:val="007A16DC"/>
    <w:pPr>
      <w:spacing w:before="100" w:beforeAutospacing="1" w:after="100" w:afterAutospacing="1"/>
    </w:pPr>
    <w:rPr>
      <w:rFonts w:ascii="Calibri" w:hAnsi="Calibri" w:cs="Calibri"/>
      <w:sz w:val="22"/>
      <w:szCs w:val="22"/>
    </w:rPr>
  </w:style>
  <w:style w:type="character" w:customStyle="1" w:styleId="normaltextrun">
    <w:name w:val="normaltextrun"/>
    <w:basedOn w:val="DefaultParagraphFont"/>
    <w:rsid w:val="0000621C"/>
  </w:style>
  <w:style w:type="character" w:customStyle="1" w:styleId="eop">
    <w:name w:val="eop"/>
    <w:basedOn w:val="DefaultParagraphFont"/>
    <w:rsid w:val="0000621C"/>
  </w:style>
  <w:style w:type="paragraph" w:customStyle="1" w:styleId="paragraph">
    <w:name w:val="paragraph"/>
    <w:basedOn w:val="Normal"/>
    <w:rsid w:val="005E78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C7696"/>
    <w:pPr>
      <w:ind w:left="720"/>
      <w:contextualSpacing/>
    </w:pPr>
  </w:style>
  <w:style w:type="character" w:customStyle="1" w:styleId="scxw190998497">
    <w:name w:val="scxw190998497"/>
    <w:basedOn w:val="DefaultParagraphFont"/>
    <w:rsid w:val="001929D7"/>
  </w:style>
  <w:style w:type="character" w:styleId="Hyperlink">
    <w:name w:val="Hyperlink"/>
    <w:basedOn w:val="DefaultParagraphFont"/>
    <w:uiPriority w:val="99"/>
    <w:unhideWhenUsed/>
    <w:rsid w:val="001929D7"/>
    <w:rPr>
      <w:color w:val="0563C1" w:themeColor="hyperlink"/>
      <w:u w:val="single"/>
    </w:rPr>
  </w:style>
  <w:style w:type="character" w:styleId="UnresolvedMention">
    <w:name w:val="Unresolved Mention"/>
    <w:basedOn w:val="DefaultParagraphFont"/>
    <w:uiPriority w:val="99"/>
    <w:semiHidden/>
    <w:unhideWhenUsed/>
    <w:rsid w:val="001929D7"/>
    <w:rPr>
      <w:color w:val="605E5C"/>
      <w:shd w:val="clear" w:color="auto" w:fill="E1DFDD"/>
    </w:rPr>
  </w:style>
  <w:style w:type="paragraph" w:styleId="Title">
    <w:name w:val="Title"/>
    <w:basedOn w:val="Normal"/>
    <w:next w:val="Normal"/>
    <w:link w:val="TitleChar"/>
    <w:uiPriority w:val="10"/>
    <w:qFormat/>
    <w:rsid w:val="001929D7"/>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929D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929D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A4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1DF"/>
    <w:pPr>
      <w:tabs>
        <w:tab w:val="center" w:pos="4680"/>
        <w:tab w:val="right" w:pos="9360"/>
      </w:tabs>
      <w:spacing w:before="0" w:after="0"/>
    </w:pPr>
  </w:style>
  <w:style w:type="character" w:customStyle="1" w:styleId="HeaderChar">
    <w:name w:val="Header Char"/>
    <w:basedOn w:val="DefaultParagraphFont"/>
    <w:link w:val="Header"/>
    <w:uiPriority w:val="99"/>
    <w:rsid w:val="006551DF"/>
    <w:rPr>
      <w:rFonts w:asciiTheme="majorHAnsi" w:hAnsiTheme="majorHAnsi"/>
      <w:sz w:val="24"/>
      <w:szCs w:val="24"/>
    </w:rPr>
  </w:style>
  <w:style w:type="paragraph" w:styleId="Footer">
    <w:name w:val="footer"/>
    <w:basedOn w:val="Normal"/>
    <w:link w:val="FooterChar"/>
    <w:uiPriority w:val="99"/>
    <w:unhideWhenUsed/>
    <w:rsid w:val="006551DF"/>
    <w:pPr>
      <w:tabs>
        <w:tab w:val="center" w:pos="4680"/>
        <w:tab w:val="right" w:pos="9360"/>
      </w:tabs>
      <w:spacing w:before="0" w:after="0"/>
    </w:pPr>
  </w:style>
  <w:style w:type="character" w:customStyle="1" w:styleId="FooterChar">
    <w:name w:val="Footer Char"/>
    <w:basedOn w:val="DefaultParagraphFont"/>
    <w:link w:val="Footer"/>
    <w:uiPriority w:val="99"/>
    <w:rsid w:val="006551DF"/>
    <w:rPr>
      <w:rFonts w:asciiTheme="majorHAnsi" w:hAnsiTheme="majorHAnsi"/>
      <w:sz w:val="24"/>
      <w:szCs w:val="24"/>
    </w:rPr>
  </w:style>
  <w:style w:type="character" w:customStyle="1" w:styleId="Heading2Char">
    <w:name w:val="Heading 2 Char"/>
    <w:basedOn w:val="DefaultParagraphFont"/>
    <w:link w:val="Heading2"/>
    <w:uiPriority w:val="9"/>
    <w:rsid w:val="006551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338736">
      <w:bodyDiv w:val="1"/>
      <w:marLeft w:val="0"/>
      <w:marRight w:val="0"/>
      <w:marTop w:val="0"/>
      <w:marBottom w:val="0"/>
      <w:divBdr>
        <w:top w:val="none" w:sz="0" w:space="0" w:color="auto"/>
        <w:left w:val="none" w:sz="0" w:space="0" w:color="auto"/>
        <w:bottom w:val="none" w:sz="0" w:space="0" w:color="auto"/>
        <w:right w:val="none" w:sz="0" w:space="0" w:color="auto"/>
      </w:divBdr>
      <w:divsChild>
        <w:div w:id="1177964703">
          <w:marLeft w:val="0"/>
          <w:marRight w:val="0"/>
          <w:marTop w:val="0"/>
          <w:marBottom w:val="0"/>
          <w:divBdr>
            <w:top w:val="none" w:sz="0" w:space="0" w:color="auto"/>
            <w:left w:val="none" w:sz="0" w:space="0" w:color="auto"/>
            <w:bottom w:val="none" w:sz="0" w:space="0" w:color="auto"/>
            <w:right w:val="none" w:sz="0" w:space="0" w:color="auto"/>
          </w:divBdr>
          <w:divsChild>
            <w:div w:id="1478917528">
              <w:marLeft w:val="0"/>
              <w:marRight w:val="0"/>
              <w:marTop w:val="0"/>
              <w:marBottom w:val="0"/>
              <w:divBdr>
                <w:top w:val="none" w:sz="0" w:space="0" w:color="auto"/>
                <w:left w:val="none" w:sz="0" w:space="0" w:color="auto"/>
                <w:bottom w:val="none" w:sz="0" w:space="0" w:color="auto"/>
                <w:right w:val="none" w:sz="0" w:space="0" w:color="auto"/>
              </w:divBdr>
            </w:div>
            <w:div w:id="1518613653">
              <w:marLeft w:val="0"/>
              <w:marRight w:val="0"/>
              <w:marTop w:val="0"/>
              <w:marBottom w:val="0"/>
              <w:divBdr>
                <w:top w:val="none" w:sz="0" w:space="0" w:color="auto"/>
                <w:left w:val="none" w:sz="0" w:space="0" w:color="auto"/>
                <w:bottom w:val="none" w:sz="0" w:space="0" w:color="auto"/>
                <w:right w:val="none" w:sz="0" w:space="0" w:color="auto"/>
              </w:divBdr>
            </w:div>
          </w:divsChild>
        </w:div>
        <w:div w:id="1406874789">
          <w:marLeft w:val="0"/>
          <w:marRight w:val="0"/>
          <w:marTop w:val="0"/>
          <w:marBottom w:val="0"/>
          <w:divBdr>
            <w:top w:val="none" w:sz="0" w:space="0" w:color="auto"/>
            <w:left w:val="none" w:sz="0" w:space="0" w:color="auto"/>
            <w:bottom w:val="none" w:sz="0" w:space="0" w:color="auto"/>
            <w:right w:val="none" w:sz="0" w:space="0" w:color="auto"/>
          </w:divBdr>
          <w:divsChild>
            <w:div w:id="13796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inghouse.fmcsa.dot.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earinghouse.fmcsa.dot.gov/regis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inghouse.fmcsa.dot.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learinghouse.fmcsa.do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inghouse.fmcsa.dot.gov/register.&#160;&#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7D927560F17498DD3A3FB7893CA54" ma:contentTypeVersion="11" ma:contentTypeDescription="Create a new document." ma:contentTypeScope="" ma:versionID="3a7aa50773a86ddecd4fb1730021c370">
  <xsd:schema xmlns:xsd="http://www.w3.org/2001/XMLSchema" xmlns:xs="http://www.w3.org/2001/XMLSchema" xmlns:p="http://schemas.microsoft.com/office/2006/metadata/properties" xmlns:ns2="fb938522-337a-4aff-aaca-9aa7f61f1a2e" xmlns:ns3="58f509ee-0e07-4739-86e5-4c23e80f2294" targetNamespace="http://schemas.microsoft.com/office/2006/metadata/properties" ma:root="true" ma:fieldsID="785b689e016d76407327a4c75e19f796" ns2:_="" ns3:_="">
    <xsd:import namespace="fb938522-337a-4aff-aaca-9aa7f61f1a2e"/>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38522-337a-4aff-aaca-9aa7f61f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F829D-2AAD-402D-8648-CD893CABA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38522-337a-4aff-aaca-9aa7f61f1a2e"/>
    <ds:schemaRef ds:uri="58f509ee-0e07-4739-86e5-4c23e80f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646D6-0C6E-44C4-A28A-2E73B52FC4CB}">
  <ds:schemaRefs>
    <ds:schemaRef ds:uri="http://schemas.microsoft.com/sharepoint/v3/contenttype/forms"/>
  </ds:schemaRefs>
</ds:datastoreItem>
</file>

<file path=customXml/itemProps3.xml><?xml version="1.0" encoding="utf-8"?>
<ds:datastoreItem xmlns:ds="http://schemas.openxmlformats.org/officeDocument/2006/customXml" ds:itemID="{E7D83772-2B68-48AE-8483-BE991DC448C1}">
  <ds:schemaRefs>
    <ds:schemaRef ds:uri="http://purl.org/dc/elements/1.1/"/>
    <ds:schemaRef ds:uri="http://schemas.microsoft.com/office/2006/metadata/properties"/>
    <ds:schemaRef ds:uri="http://schemas.microsoft.com/office/2006/documentManagement/types"/>
    <ds:schemaRef ds:uri="http://purl.org/dc/terms/"/>
    <ds:schemaRef ds:uri="58f509ee-0e07-4739-86e5-4c23e80f2294"/>
    <ds:schemaRef ds:uri="http://purl.org/dc/dcmitype/"/>
    <ds:schemaRef ds:uri="http://schemas.microsoft.com/office/infopath/2007/PartnerControls"/>
    <ds:schemaRef ds:uri="http://schemas.openxmlformats.org/package/2006/metadata/core-properties"/>
    <ds:schemaRef ds:uri="fb938522-337a-4aff-aaca-9aa7f61f1a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 Elizabeth (Volpe)</dc:creator>
  <cp:keywords/>
  <dc:description/>
  <cp:lastModifiedBy>Hacker, Elizabeth (Volpe)</cp:lastModifiedBy>
  <cp:revision>12</cp:revision>
  <dcterms:created xsi:type="dcterms:W3CDTF">2022-10-24T13:56:00Z</dcterms:created>
  <dcterms:modified xsi:type="dcterms:W3CDTF">2022-11-03T17:59:00Z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0x0101003447D927560F17498DD3A3FB7893CA54</vt:lpwstr>
  </property>
</Properties>
</file>